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7ACCF14F" w14:textId="5C0C8A5C" w:rsidR="00CC3B24" w:rsidRPr="00696AB7" w:rsidRDefault="00FE28AC" w:rsidP="00CC3B24">
      <w:pPr>
        <w:autoSpaceDE w:val="0"/>
        <w:autoSpaceDN w:val="0"/>
        <w:adjustRightInd w:val="0"/>
        <w:spacing w:line="276" w:lineRule="auto"/>
        <w:rPr>
          <w:rFonts w:cs="Verdana"/>
          <w:b/>
          <w:bCs/>
          <w:sz w:val="22"/>
          <w:szCs w:val="22"/>
        </w:rPr>
      </w:pPr>
      <w:r>
        <w:rPr>
          <w:b/>
          <w:bCs/>
          <w:sz w:val="40"/>
          <w:szCs w:val="40"/>
        </w:rPr>
        <w:t>Hamm</w:t>
      </w:r>
      <w:r w:rsidR="002F5818" w:rsidRPr="00895697">
        <w:rPr>
          <w:b/>
          <w:bCs/>
          <w:sz w:val="40"/>
          <w:szCs w:val="40"/>
        </w:rPr>
        <w:t xml:space="preserve"> | </w:t>
      </w:r>
      <w:r w:rsidR="00AF5DF0" w:rsidRPr="00AF5DF0">
        <w:rPr>
          <w:b/>
          <w:bCs/>
          <w:sz w:val="40"/>
          <w:szCs w:val="40"/>
        </w:rPr>
        <w:t>VC-Walzenzüge sparen Zeit und Kosten</w:t>
      </w:r>
      <w:r w:rsidR="00895697">
        <w:rPr>
          <w:sz w:val="36"/>
          <w:szCs w:val="36"/>
        </w:rPr>
        <w:br/>
      </w:r>
    </w:p>
    <w:p w14:paraId="2C4515DB" w14:textId="1DEB7209" w:rsidR="00EF1D82" w:rsidRDefault="00AF5DF0" w:rsidP="00AF5DF0">
      <w:pPr>
        <w:pStyle w:val="1RoadNews"/>
        <w:spacing w:line="240" w:lineRule="auto"/>
        <w:rPr>
          <w:rFonts w:ascii="Verdana" w:hAnsi="Verdana" w:cs="HelveticaNeue-Medium"/>
          <w:b/>
          <w:bCs/>
          <w:sz w:val="28"/>
          <w:szCs w:val="28"/>
        </w:rPr>
      </w:pPr>
      <w:r w:rsidRPr="00AF5DF0">
        <w:rPr>
          <w:rFonts w:ascii="Verdana" w:hAnsi="Verdana" w:cs="HelveticaNeue-Medium"/>
          <w:b/>
          <w:bCs/>
          <w:sz w:val="28"/>
          <w:szCs w:val="28"/>
        </w:rPr>
        <w:t>Zwei VC-Walzenzüge vom Typ H 25i VC verwirklichten in Bad Fredeburg einen hocheffizienten Bauprozess</w:t>
      </w:r>
    </w:p>
    <w:p w14:paraId="6C827E3C" w14:textId="77777777" w:rsidR="00AF5DF0" w:rsidRDefault="00AF5DF0" w:rsidP="00AF5DF0">
      <w:pPr>
        <w:pStyle w:val="1RoadNews"/>
        <w:spacing w:line="240" w:lineRule="auto"/>
        <w:rPr>
          <w:b/>
          <w:szCs w:val="22"/>
        </w:rPr>
      </w:pPr>
    </w:p>
    <w:p w14:paraId="2B41CB5D" w14:textId="0412E90C" w:rsidR="00CC3B24" w:rsidRPr="00AF5DF0" w:rsidRDefault="00AF5DF0" w:rsidP="00E7367C">
      <w:pPr>
        <w:autoSpaceDE w:val="0"/>
        <w:autoSpaceDN w:val="0"/>
        <w:adjustRightInd w:val="0"/>
        <w:jc w:val="both"/>
        <w:rPr>
          <w:rFonts w:cs="Segoe UI"/>
          <w:b/>
          <w:bCs/>
          <w:sz w:val="22"/>
          <w:szCs w:val="22"/>
          <w:shd w:val="clear" w:color="auto" w:fill="FFFFFF"/>
        </w:rPr>
      </w:pPr>
      <w:r w:rsidRPr="00AF5DF0">
        <w:rPr>
          <w:rFonts w:cs="Segoe UI"/>
          <w:b/>
          <w:bCs/>
          <w:sz w:val="22"/>
          <w:szCs w:val="22"/>
          <w:shd w:val="clear" w:color="auto" w:fill="FFFFFF"/>
        </w:rPr>
        <w:t xml:space="preserve">Bei Bad Fredeburg, einem Ort in der deutschen Mittelgebirgsregion Sauerland, haben zwei </w:t>
      </w:r>
      <w:r w:rsidR="00FE28AC">
        <w:rPr>
          <w:rFonts w:cs="Segoe UI"/>
          <w:b/>
          <w:bCs/>
          <w:sz w:val="22"/>
          <w:szCs w:val="22"/>
          <w:shd w:val="clear" w:color="auto" w:fill="FFFFFF"/>
        </w:rPr>
        <w:t>Hamm</w:t>
      </w:r>
      <w:r w:rsidRPr="00AF5DF0">
        <w:rPr>
          <w:rFonts w:cs="Segoe UI"/>
          <w:b/>
          <w:bCs/>
          <w:sz w:val="22"/>
          <w:szCs w:val="22"/>
          <w:shd w:val="clear" w:color="auto" w:fill="FFFFFF"/>
        </w:rPr>
        <w:t xml:space="preserve"> Walzenzüge vom Typ H 25i VC mit ihrer speziellen Brecherbandage Schiefer gebrochen und zugleich verdichtet. Auf diese Weise entstand ein bis zu 15 m hoher Damm für eine neue Umgehungsstraße. Hauptgrund für den Einsatz der Walzen: Mit den VC-Walzenzügen lässt sich ein hocheffizienter Bauprozess verwirklichen, der auf separate Gesteinsbrecher und einen Großteil der Transporte verzichtet. Die Folge: ein beschleunigter Ablauf bei gleichzeitiger Kostensenkung.</w:t>
      </w:r>
    </w:p>
    <w:p w14:paraId="541C3EE4" w14:textId="77777777" w:rsidR="00AF5DF0" w:rsidRPr="00AF5DF0" w:rsidRDefault="00AF5DF0" w:rsidP="00E7367C">
      <w:pPr>
        <w:autoSpaceDE w:val="0"/>
        <w:autoSpaceDN w:val="0"/>
        <w:adjustRightInd w:val="0"/>
        <w:jc w:val="both"/>
        <w:rPr>
          <w:rFonts w:cs="Verdana"/>
          <w:b/>
          <w:bCs/>
          <w:sz w:val="22"/>
          <w:szCs w:val="22"/>
        </w:rPr>
      </w:pPr>
    </w:p>
    <w:p w14:paraId="19B57D39" w14:textId="77777777" w:rsidR="00AF5DF0" w:rsidRDefault="00AF5DF0" w:rsidP="00E7367C">
      <w:pPr>
        <w:jc w:val="both"/>
        <w:rPr>
          <w:sz w:val="22"/>
          <w:szCs w:val="22"/>
          <w:lang w:eastAsia="de-DE"/>
        </w:rPr>
      </w:pPr>
      <w:r w:rsidRPr="00AF5DF0">
        <w:rPr>
          <w:b/>
          <w:bCs/>
          <w:sz w:val="22"/>
          <w:szCs w:val="22"/>
          <w:lang w:eastAsia="de-DE"/>
        </w:rPr>
        <w:t>Optimale Baumaßnahme für VC-Walzenzug</w:t>
      </w:r>
    </w:p>
    <w:p w14:paraId="2714B5BA" w14:textId="15378248" w:rsidR="00AF5DF0" w:rsidRDefault="00AF5DF0" w:rsidP="00E7367C">
      <w:pPr>
        <w:jc w:val="both"/>
        <w:rPr>
          <w:sz w:val="22"/>
          <w:szCs w:val="22"/>
          <w:lang w:eastAsia="de-DE"/>
        </w:rPr>
      </w:pPr>
      <w:r w:rsidRPr="00AF5DF0">
        <w:rPr>
          <w:sz w:val="22"/>
          <w:szCs w:val="22"/>
          <w:lang w:eastAsia="de-DE"/>
        </w:rPr>
        <w:t xml:space="preserve">Im Rahmen der Bauma 2019 ist Michael Tillmann aus Kirchhundem in der westdeutschen Mittelgebirgsregion Sauerland auf den H 25i VC aufmerksam geworden. </w:t>
      </w:r>
      <w:r>
        <w:rPr>
          <w:sz w:val="22"/>
          <w:szCs w:val="22"/>
          <w:lang w:eastAsia="de-DE"/>
        </w:rPr>
        <w:t>„</w:t>
      </w:r>
      <w:r w:rsidRPr="00AF5DF0">
        <w:rPr>
          <w:sz w:val="22"/>
          <w:szCs w:val="22"/>
          <w:lang w:eastAsia="de-DE"/>
        </w:rPr>
        <w:t>Uns überzeugte das Konzept der Walze sofort. Doch bisher fehlte das passende Projekt</w:t>
      </w:r>
      <w:r>
        <w:rPr>
          <w:sz w:val="22"/>
          <w:szCs w:val="22"/>
          <w:lang w:eastAsia="de-DE"/>
        </w:rPr>
        <w:t>“</w:t>
      </w:r>
      <w:r w:rsidRPr="00AF5DF0">
        <w:rPr>
          <w:sz w:val="22"/>
          <w:szCs w:val="22"/>
          <w:lang w:eastAsia="de-DE"/>
        </w:rPr>
        <w:t xml:space="preserve">, berichtet der Bauleiter der Straßen- und Tiefbau GmbH. Doch schon kurze Zeit später sollte ein Damm für eine Umgehungsstraße aus lokal vorhandenem Schiefer aufgebaut werden. </w:t>
      </w:r>
      <w:r>
        <w:rPr>
          <w:sz w:val="22"/>
          <w:szCs w:val="22"/>
          <w:lang w:eastAsia="de-DE"/>
        </w:rPr>
        <w:t>„</w:t>
      </w:r>
      <w:r w:rsidRPr="00AF5DF0">
        <w:rPr>
          <w:sz w:val="22"/>
          <w:szCs w:val="22"/>
          <w:lang w:eastAsia="de-DE"/>
        </w:rPr>
        <w:t xml:space="preserve">Beim Anblick des Gesteins hatte ich bereits die Vermutung, dass dieses Material von dem </w:t>
      </w:r>
      <w:r w:rsidR="00FE28AC">
        <w:rPr>
          <w:sz w:val="22"/>
          <w:szCs w:val="22"/>
          <w:lang w:eastAsia="de-DE"/>
        </w:rPr>
        <w:t>Hamm</w:t>
      </w:r>
      <w:r w:rsidRPr="00AF5DF0">
        <w:rPr>
          <w:sz w:val="22"/>
          <w:szCs w:val="22"/>
          <w:lang w:eastAsia="de-DE"/>
        </w:rPr>
        <w:t xml:space="preserve"> Walzenzug gut zu zerkleinern wäre</w:t>
      </w:r>
      <w:r>
        <w:rPr>
          <w:sz w:val="22"/>
          <w:szCs w:val="22"/>
          <w:lang w:eastAsia="de-DE"/>
        </w:rPr>
        <w:t>“</w:t>
      </w:r>
      <w:r w:rsidRPr="00AF5DF0">
        <w:rPr>
          <w:sz w:val="22"/>
          <w:szCs w:val="22"/>
          <w:lang w:eastAsia="de-DE"/>
        </w:rPr>
        <w:t>, so Tillmann. Er sollte recht behalten. Bei dem plattigen Gestein handelt es sich um Fredeburger Schiefer, der auch als schiefrige Grauwacke bezeichnet wird. Das Material sollte ursprünglich von mehreren Backenbrechern auf der Baustelle auf eine maximale Korngröße von 200 mm gebrochen, per Bagger auf LKW und von dort zum Damm transportiert werden. Planierraupen hätten dann das Gestein verteilen sollen, damit Walzenzüge es lagenweise verdichten.</w:t>
      </w:r>
    </w:p>
    <w:p w14:paraId="1718EF77" w14:textId="77777777" w:rsidR="00AF5DF0" w:rsidRPr="00AF5DF0" w:rsidRDefault="00AF5DF0" w:rsidP="00E7367C">
      <w:pPr>
        <w:jc w:val="both"/>
        <w:rPr>
          <w:sz w:val="22"/>
          <w:szCs w:val="22"/>
          <w:lang w:eastAsia="de-DE"/>
        </w:rPr>
      </w:pPr>
    </w:p>
    <w:p w14:paraId="608C552B" w14:textId="77777777" w:rsidR="00AF5DF0" w:rsidRPr="00AF5DF0" w:rsidRDefault="00AF5DF0" w:rsidP="00E7367C">
      <w:pPr>
        <w:jc w:val="both"/>
        <w:rPr>
          <w:b/>
          <w:bCs/>
          <w:sz w:val="22"/>
          <w:szCs w:val="22"/>
          <w:lang w:eastAsia="de-DE"/>
        </w:rPr>
      </w:pPr>
      <w:r w:rsidRPr="00AF5DF0">
        <w:rPr>
          <w:b/>
          <w:bCs/>
          <w:sz w:val="22"/>
          <w:szCs w:val="22"/>
          <w:lang w:eastAsia="de-DE"/>
        </w:rPr>
        <w:t>Vereinfachter Prozess verdoppelt Leistung</w:t>
      </w:r>
    </w:p>
    <w:p w14:paraId="3B5D88B7" w14:textId="10DBD2C0" w:rsidR="00895697" w:rsidRDefault="00AF5DF0" w:rsidP="00E7367C">
      <w:pPr>
        <w:jc w:val="both"/>
        <w:rPr>
          <w:sz w:val="22"/>
          <w:szCs w:val="22"/>
          <w:lang w:eastAsia="de-DE"/>
        </w:rPr>
      </w:pPr>
      <w:r w:rsidRPr="00AF5DF0">
        <w:rPr>
          <w:sz w:val="22"/>
          <w:szCs w:val="22"/>
          <w:lang w:eastAsia="de-DE"/>
        </w:rPr>
        <w:t xml:space="preserve">Für diesen Prozess präsentierte das Team aus dem Sauerland eine einfachere und effizientere Alternative – ohne Brecher und mit erheblich weniger Transporten, dafür mit zwei Walzenzügen H 25i VC. Ein Versuch zeigte schnell: Die VC-Walzenzüge von </w:t>
      </w:r>
      <w:r w:rsidR="00FE28AC">
        <w:rPr>
          <w:sz w:val="22"/>
          <w:szCs w:val="22"/>
          <w:lang w:eastAsia="de-DE"/>
        </w:rPr>
        <w:t>Hamm</w:t>
      </w:r>
      <w:r w:rsidRPr="00AF5DF0">
        <w:rPr>
          <w:sz w:val="22"/>
          <w:szCs w:val="22"/>
          <w:lang w:eastAsia="de-DE"/>
        </w:rPr>
        <w:t xml:space="preserve"> ergaben das richtige Bruchbild für diese Anwendung. Auch die Bauüberwachung war mit der Qualität des gebrochenen Schiefers und der erreichten Verdichtung der Dammlagen zufrieden. In Abstimmung mit dem Bodengutachter wurde daraufhin eine Höhe von 40 cm pro Lage festgelegt. Der optimale Hohlraumgehalt wurde zu 6 % bestimmt, maximal durften es 10 % sein. Damit auch der Wassergehalt passt, sollte zudem jede Lage mit Wasser besprüht werden. </w:t>
      </w:r>
      <w:r>
        <w:rPr>
          <w:sz w:val="22"/>
          <w:szCs w:val="22"/>
          <w:lang w:eastAsia="de-DE"/>
        </w:rPr>
        <w:t>„</w:t>
      </w:r>
      <w:r w:rsidRPr="00AF5DF0">
        <w:rPr>
          <w:sz w:val="22"/>
          <w:szCs w:val="22"/>
          <w:lang w:eastAsia="de-DE"/>
        </w:rPr>
        <w:t>Nach einigen Tagen in Betrieb zeigte sich, dass wir so deutlich schneller waren als mit Brechern. Hauptgrund ist das lagenweise Arbeiten</w:t>
      </w:r>
      <w:r>
        <w:rPr>
          <w:sz w:val="22"/>
          <w:szCs w:val="22"/>
          <w:lang w:eastAsia="de-DE"/>
        </w:rPr>
        <w:t>“</w:t>
      </w:r>
      <w:r w:rsidRPr="00AF5DF0">
        <w:rPr>
          <w:sz w:val="22"/>
          <w:szCs w:val="22"/>
          <w:lang w:eastAsia="de-DE"/>
        </w:rPr>
        <w:t>, erklärt Michael Tillmann.</w:t>
      </w:r>
    </w:p>
    <w:p w14:paraId="73A27608" w14:textId="77777777" w:rsidR="00AF5DF0" w:rsidRDefault="00AF5DF0" w:rsidP="00E7367C">
      <w:pPr>
        <w:rPr>
          <w:szCs w:val="22"/>
        </w:rPr>
      </w:pPr>
    </w:p>
    <w:p w14:paraId="0E52B6B7" w14:textId="63C20A34" w:rsidR="00EF1D82" w:rsidRPr="00EF1D82" w:rsidRDefault="00AF5DF0" w:rsidP="00E7367C">
      <w:pPr>
        <w:jc w:val="both"/>
        <w:rPr>
          <w:sz w:val="22"/>
          <w:szCs w:val="22"/>
          <w:lang w:eastAsia="de-DE"/>
        </w:rPr>
      </w:pPr>
      <w:r w:rsidRPr="00AF5DF0">
        <w:rPr>
          <w:b/>
          <w:bCs/>
          <w:sz w:val="22"/>
          <w:szCs w:val="22"/>
          <w:lang w:eastAsia="de-DE"/>
        </w:rPr>
        <w:t>Felsbrecher und Stampffußwalze in einem</w:t>
      </w:r>
    </w:p>
    <w:p w14:paraId="30F653C1" w14:textId="57B842FB" w:rsidR="00AF5DF0" w:rsidRDefault="00AF5DF0" w:rsidP="00E7367C">
      <w:pPr>
        <w:jc w:val="both"/>
        <w:rPr>
          <w:sz w:val="22"/>
          <w:szCs w:val="22"/>
          <w:lang w:eastAsia="de-DE"/>
        </w:rPr>
      </w:pPr>
      <w:r w:rsidRPr="00AF5DF0">
        <w:rPr>
          <w:sz w:val="22"/>
          <w:szCs w:val="22"/>
          <w:lang w:eastAsia="de-DE"/>
        </w:rPr>
        <w:t xml:space="preserve">Auf der Bandage der VC-Walzenzüge sind 150 Wechselhalter verschweißt. Diese Halter können verschiedene Werkzeuge aufnehmen: Rundschaftmeißel oder Stampffußeinsätze. Bestückt mit Rundschaftmeißeln, die auch im Mining benutzt werden, erzeugt die vibrierende Bandage extrem hohe Punktlasten von bis zu 50 t und </w:t>
      </w:r>
      <w:r w:rsidRPr="00AF5DF0">
        <w:rPr>
          <w:sz w:val="22"/>
          <w:szCs w:val="22"/>
          <w:lang w:eastAsia="de-DE"/>
        </w:rPr>
        <w:lastRenderedPageBreak/>
        <w:t xml:space="preserve">bricht dadurch das Gestein. Zeitgleich wird der Boden verdichtet. Auf diese Weise können die VC-Walzenzüge Gestein brechen, aber auch Fels entspannen. Zur Verdichtung bindiger Böden kann die Bandage mit speziellen Stampffußeinsätzen ausgestattet werden. Aktuell hat </w:t>
      </w:r>
      <w:r w:rsidR="00FE28AC">
        <w:rPr>
          <w:sz w:val="22"/>
          <w:szCs w:val="22"/>
          <w:lang w:eastAsia="de-DE"/>
        </w:rPr>
        <w:t>Hamm</w:t>
      </w:r>
      <w:r w:rsidRPr="00AF5DF0">
        <w:rPr>
          <w:sz w:val="22"/>
          <w:szCs w:val="22"/>
          <w:lang w:eastAsia="de-DE"/>
        </w:rPr>
        <w:t xml:space="preserve"> für das Brechen oder Entspannen von Gestein zwei verschiedene Rundschaftmeißel im Programm: einen klassischen Rundschaftmeißel und einen speziellen Mining-Meißel für Hartgestein-Einsätze. Ihre Geometrie mitsamt den integrierten Meißelspitzen aus Hartmetall sind speziell auf Materialien verschiedener Druckfestigkeiten abgestimmt.</w:t>
      </w:r>
    </w:p>
    <w:p w14:paraId="07A06512" w14:textId="77777777" w:rsidR="00AF5DF0" w:rsidRPr="00AF5DF0" w:rsidRDefault="00AF5DF0" w:rsidP="00E7367C">
      <w:pPr>
        <w:jc w:val="both"/>
        <w:rPr>
          <w:sz w:val="22"/>
          <w:szCs w:val="22"/>
          <w:lang w:eastAsia="de-DE"/>
        </w:rPr>
      </w:pPr>
    </w:p>
    <w:p w14:paraId="74F7D2A6" w14:textId="77777777" w:rsidR="00AF5DF0" w:rsidRPr="00AF5DF0" w:rsidRDefault="00AF5DF0" w:rsidP="00E7367C">
      <w:pPr>
        <w:jc w:val="both"/>
        <w:rPr>
          <w:b/>
          <w:bCs/>
          <w:sz w:val="22"/>
          <w:szCs w:val="22"/>
          <w:lang w:eastAsia="de-DE"/>
        </w:rPr>
      </w:pPr>
      <w:r w:rsidRPr="00AF5DF0">
        <w:rPr>
          <w:b/>
          <w:bCs/>
          <w:sz w:val="22"/>
          <w:szCs w:val="22"/>
          <w:lang w:eastAsia="de-DE"/>
        </w:rPr>
        <w:t>Wiederverwendung als Prinzip</w:t>
      </w:r>
    </w:p>
    <w:p w14:paraId="3B27327D" w14:textId="20EB7F6C" w:rsidR="00EF1D82" w:rsidRDefault="00AF5DF0" w:rsidP="00E7367C">
      <w:pPr>
        <w:jc w:val="both"/>
        <w:rPr>
          <w:sz w:val="22"/>
          <w:szCs w:val="22"/>
          <w:lang w:eastAsia="de-DE"/>
        </w:rPr>
      </w:pPr>
      <w:r w:rsidRPr="00AF5DF0">
        <w:rPr>
          <w:sz w:val="22"/>
          <w:szCs w:val="22"/>
          <w:lang w:eastAsia="de-DE"/>
        </w:rPr>
        <w:t xml:space="preserve">Typisch </w:t>
      </w:r>
      <w:r w:rsidR="00FE28AC">
        <w:rPr>
          <w:sz w:val="22"/>
          <w:szCs w:val="22"/>
          <w:lang w:eastAsia="de-DE"/>
        </w:rPr>
        <w:t>Hamm</w:t>
      </w:r>
      <w:r w:rsidRPr="00AF5DF0">
        <w:rPr>
          <w:sz w:val="22"/>
          <w:szCs w:val="22"/>
          <w:lang w:eastAsia="de-DE"/>
        </w:rPr>
        <w:t xml:space="preserve"> ist das Design der Wechselhalter: Die Werkzeuge verschmutzen durch die Gestaltung des Halters wenig und sind dadurch einfach zu tauschen. Übrigens: Die Meißel werden beim Wechsel nicht zerstört. Daher können sie mehrfach verwendet werden, bis ihre Verschleißgrenze erreicht ist. Beim Brechen des Bad Fredeburger Schiefers überzeugten die Meißel zudem mit einem geringen Verschleiß: </w:t>
      </w:r>
      <w:r>
        <w:rPr>
          <w:sz w:val="22"/>
          <w:szCs w:val="22"/>
          <w:lang w:eastAsia="de-DE"/>
        </w:rPr>
        <w:t>„</w:t>
      </w:r>
      <w:r w:rsidRPr="00AF5DF0">
        <w:rPr>
          <w:sz w:val="22"/>
          <w:szCs w:val="22"/>
          <w:lang w:eastAsia="de-DE"/>
        </w:rPr>
        <w:t>Wir mussten in der ganzen Zeit nur wenige Meißel tauschen</w:t>
      </w:r>
      <w:r>
        <w:rPr>
          <w:sz w:val="22"/>
          <w:szCs w:val="22"/>
          <w:lang w:eastAsia="de-DE"/>
        </w:rPr>
        <w:t>“</w:t>
      </w:r>
      <w:r w:rsidRPr="00AF5DF0">
        <w:rPr>
          <w:sz w:val="22"/>
          <w:szCs w:val="22"/>
          <w:lang w:eastAsia="de-DE"/>
        </w:rPr>
        <w:t>, sagt Maschinenbediener Marvin Gallus.</w:t>
      </w:r>
    </w:p>
    <w:p w14:paraId="53DAB9B2" w14:textId="77777777" w:rsidR="00AF5DF0" w:rsidRDefault="00AF5DF0" w:rsidP="00E7367C">
      <w:pPr>
        <w:jc w:val="both"/>
        <w:rPr>
          <w:sz w:val="22"/>
          <w:szCs w:val="22"/>
          <w:lang w:eastAsia="de-DE"/>
        </w:rPr>
      </w:pPr>
    </w:p>
    <w:p w14:paraId="34D4A820" w14:textId="77777777" w:rsidR="00AF5DF0" w:rsidRPr="00AF5DF0" w:rsidRDefault="00AF5DF0" w:rsidP="00E7367C">
      <w:pPr>
        <w:jc w:val="both"/>
        <w:rPr>
          <w:b/>
          <w:bCs/>
          <w:sz w:val="22"/>
          <w:szCs w:val="22"/>
          <w:lang w:eastAsia="de-DE"/>
        </w:rPr>
      </w:pPr>
      <w:r w:rsidRPr="00AF5DF0">
        <w:rPr>
          <w:b/>
          <w:bCs/>
          <w:sz w:val="22"/>
          <w:szCs w:val="22"/>
          <w:lang w:eastAsia="de-DE"/>
        </w:rPr>
        <w:t>Optimierter Prozess: Kostenreduzierung um rund 50 %.</w:t>
      </w:r>
    </w:p>
    <w:p w14:paraId="5D42B58E" w14:textId="0912D49C" w:rsidR="00AF5DF0" w:rsidRDefault="00AF5DF0" w:rsidP="00E7367C">
      <w:pPr>
        <w:jc w:val="both"/>
        <w:rPr>
          <w:sz w:val="22"/>
          <w:szCs w:val="22"/>
          <w:lang w:eastAsia="de-DE"/>
        </w:rPr>
      </w:pPr>
      <w:r w:rsidRPr="00AF5DF0">
        <w:rPr>
          <w:sz w:val="22"/>
          <w:szCs w:val="22"/>
          <w:lang w:eastAsia="de-DE"/>
        </w:rPr>
        <w:t xml:space="preserve">Bei den meisten vergleichbaren Baustellen setzt sich der Baustellenprozess aus folgenden Schritten zusammen: Abbau und Laden, Transport, Beschickung des Brechers, Brechen, Laden, Transport, Verteilen und Verdichten.Mit VC-Walzenzügen verkürzt sich der Prozess. Übrig bleiben die Schritte Abbau und Laden, Transport zum Einbauort, Verteilen mit Planierraupen, Zerkleinern und Verdichten mit dem VC-Walzenzug. Damit können Projekte deutlich wirtschaftlicher realisiert werden. In Bad Fredeburg reduzierten sich die Kosten für das Zerkleinern und Verdichten um circa 50 %. Der Grund: es waren erheblich weniger Maschinen nötig. Die Straßen- und Tiefbau GmbH benötigte nur zwei VC-Walzenzüge und eine Raupe. Die ursprünglich zusätzlich vorgesehenen zwei Brecher, zwei Bagger und zwei Dumper für das Zerkleinern des Schiefers waren nicht erforderlich. Entsprechend reduzierten sich auch die Personal- und Betriebskosten. Weiterer Pluspunkt: Durch den Einsatz der VC-Walzenzüge fiel auch der CO2-Fußabdruck der gesamten Baustelle deutlich kleiner aus. </w:t>
      </w:r>
    </w:p>
    <w:p w14:paraId="32730A36" w14:textId="77777777" w:rsidR="00AF5DF0" w:rsidRPr="00AF5DF0" w:rsidRDefault="00AF5DF0" w:rsidP="00E7367C">
      <w:pPr>
        <w:jc w:val="both"/>
        <w:rPr>
          <w:sz w:val="22"/>
          <w:szCs w:val="22"/>
          <w:lang w:eastAsia="de-DE"/>
        </w:rPr>
      </w:pPr>
    </w:p>
    <w:p w14:paraId="633BF1EF" w14:textId="77777777" w:rsidR="00AF5DF0" w:rsidRPr="00AF5DF0" w:rsidRDefault="00AF5DF0" w:rsidP="00E7367C">
      <w:pPr>
        <w:jc w:val="both"/>
        <w:rPr>
          <w:b/>
          <w:bCs/>
          <w:sz w:val="22"/>
          <w:szCs w:val="22"/>
          <w:lang w:eastAsia="de-DE"/>
        </w:rPr>
      </w:pPr>
      <w:r w:rsidRPr="00AF5DF0">
        <w:rPr>
          <w:b/>
          <w:bCs/>
          <w:sz w:val="22"/>
          <w:szCs w:val="22"/>
          <w:lang w:eastAsia="de-DE"/>
        </w:rPr>
        <w:t>Fit für Höchstlast durch Heavy-Duty-Ausstattung</w:t>
      </w:r>
    </w:p>
    <w:p w14:paraId="0DBD4681" w14:textId="77F5F9A0" w:rsidR="00AF5DF0" w:rsidRDefault="00AF5DF0" w:rsidP="00E7367C">
      <w:pPr>
        <w:jc w:val="both"/>
        <w:rPr>
          <w:sz w:val="22"/>
          <w:szCs w:val="22"/>
          <w:lang w:eastAsia="de-DE"/>
        </w:rPr>
      </w:pPr>
      <w:r w:rsidRPr="00AF5DF0">
        <w:rPr>
          <w:sz w:val="22"/>
          <w:szCs w:val="22"/>
          <w:lang w:eastAsia="de-DE"/>
        </w:rPr>
        <w:t xml:space="preserve">Beim Brechen von Gestein werden die Maschinenkomponenten weit mehr beansprucht als beim üblichen Verdichten. Deshalb hat </w:t>
      </w:r>
      <w:r w:rsidR="00FE28AC">
        <w:rPr>
          <w:sz w:val="22"/>
          <w:szCs w:val="22"/>
          <w:lang w:eastAsia="de-DE"/>
        </w:rPr>
        <w:t>Hamm</w:t>
      </w:r>
      <w:r w:rsidRPr="00AF5DF0">
        <w:rPr>
          <w:sz w:val="22"/>
          <w:szCs w:val="22"/>
          <w:lang w:eastAsia="de-DE"/>
        </w:rPr>
        <w:t xml:space="preserve"> die VC-Maschinen als Heavy-Duty-Geräte konzipiert. So sind unter anderem das 3-Punkt-Pendelknickgelenk, der Unterboden, der Vorderrahmen und die Bandagenaufhängung inklusive Antrieb verstärkt im Vergleich zu normalen Walzenzügen. Ergänzend fahren alle VC-Walzenzüge auf besonders robusten EM-Reifen und die Fahrer profitieren vom Sitz mit extrahoher Rückenlehne. Standardmäßig ist der VC-Walzenzug außerdem mit der Maschinensteuerung </w:t>
      </w:r>
      <w:r w:rsidR="00FE28AC">
        <w:rPr>
          <w:sz w:val="22"/>
          <w:szCs w:val="22"/>
          <w:lang w:eastAsia="de-DE"/>
        </w:rPr>
        <w:t>Hamm</w:t>
      </w:r>
      <w:r w:rsidRPr="00AF5DF0">
        <w:rPr>
          <w:sz w:val="22"/>
          <w:szCs w:val="22"/>
          <w:lang w:eastAsia="de-DE"/>
        </w:rPr>
        <w:t xml:space="preserve">tronic und dem Verdichtungsmesser </w:t>
      </w:r>
      <w:r w:rsidR="00FE28AC">
        <w:rPr>
          <w:sz w:val="22"/>
          <w:szCs w:val="22"/>
          <w:lang w:eastAsia="de-DE"/>
        </w:rPr>
        <w:t>Hamm</w:t>
      </w:r>
      <w:r w:rsidRPr="00AF5DF0">
        <w:rPr>
          <w:sz w:val="22"/>
          <w:szCs w:val="22"/>
          <w:lang w:eastAsia="de-DE"/>
        </w:rPr>
        <w:t xml:space="preserve"> Compaction Meter ausgerüstet.</w:t>
      </w:r>
    </w:p>
    <w:p w14:paraId="0E37A10D" w14:textId="77777777" w:rsidR="00AF5DF0" w:rsidRPr="00AF5DF0" w:rsidRDefault="00AF5DF0" w:rsidP="00E7367C">
      <w:pPr>
        <w:jc w:val="both"/>
        <w:rPr>
          <w:sz w:val="22"/>
          <w:szCs w:val="22"/>
          <w:lang w:eastAsia="de-DE"/>
        </w:rPr>
      </w:pPr>
    </w:p>
    <w:p w14:paraId="31466CD3" w14:textId="77777777" w:rsidR="00AF5DF0" w:rsidRPr="00AF5DF0" w:rsidRDefault="00AF5DF0" w:rsidP="00E7367C">
      <w:pPr>
        <w:jc w:val="both"/>
        <w:rPr>
          <w:b/>
          <w:bCs/>
          <w:sz w:val="22"/>
          <w:szCs w:val="22"/>
          <w:lang w:eastAsia="de-DE"/>
        </w:rPr>
      </w:pPr>
      <w:r w:rsidRPr="00AF5DF0">
        <w:rPr>
          <w:b/>
          <w:bCs/>
          <w:sz w:val="22"/>
          <w:szCs w:val="22"/>
          <w:lang w:eastAsia="de-DE"/>
        </w:rPr>
        <w:t>Starkes Anwender-Feedback zur H 25i VC</w:t>
      </w:r>
    </w:p>
    <w:p w14:paraId="79D416EF" w14:textId="4217D1C6" w:rsidR="00AF5DF0" w:rsidRDefault="00AF5DF0" w:rsidP="00E7367C">
      <w:pPr>
        <w:jc w:val="both"/>
        <w:rPr>
          <w:sz w:val="22"/>
          <w:szCs w:val="22"/>
          <w:lang w:eastAsia="de-DE"/>
        </w:rPr>
      </w:pPr>
      <w:r w:rsidRPr="00AF5DF0">
        <w:rPr>
          <w:sz w:val="22"/>
          <w:szCs w:val="22"/>
          <w:lang w:eastAsia="de-DE"/>
        </w:rPr>
        <w:t xml:space="preserve">Marvin Gallus und Mohamed Khalil saßen in Bad Fredeburg am Steuer der beiden H 25i VC-Walzenzüge. Sie wurden bei der Übergabe der Brecherwalzen von einem Servicetechniker in die Besonderheiten eingewiesen. </w:t>
      </w:r>
      <w:r>
        <w:rPr>
          <w:sz w:val="22"/>
          <w:szCs w:val="22"/>
          <w:lang w:eastAsia="de-DE"/>
        </w:rPr>
        <w:t>„</w:t>
      </w:r>
      <w:r w:rsidRPr="00AF5DF0">
        <w:rPr>
          <w:sz w:val="22"/>
          <w:szCs w:val="22"/>
          <w:lang w:eastAsia="de-DE"/>
        </w:rPr>
        <w:t>Insgesamt war danach für uns alles klar und einfach. Die Walze lässt sich super bedienen</w:t>
      </w:r>
      <w:r>
        <w:rPr>
          <w:sz w:val="22"/>
          <w:szCs w:val="22"/>
          <w:lang w:eastAsia="de-DE"/>
        </w:rPr>
        <w:t>“</w:t>
      </w:r>
      <w:r w:rsidRPr="00AF5DF0">
        <w:rPr>
          <w:sz w:val="22"/>
          <w:szCs w:val="22"/>
          <w:lang w:eastAsia="de-DE"/>
        </w:rPr>
        <w:t xml:space="preserve">, so Marvin Gallus. Konkret lobten beide die einfache Bedienung sowie den Komfort – vor allem die Qualität des </w:t>
      </w:r>
      <w:r w:rsidRPr="00AF5DF0">
        <w:rPr>
          <w:sz w:val="22"/>
          <w:szCs w:val="22"/>
          <w:lang w:eastAsia="de-DE"/>
        </w:rPr>
        <w:lastRenderedPageBreak/>
        <w:t xml:space="preserve">Sitzes und das gute Platzangebot in der Kabine. Auch die vielen Details, die das Arbeiten angenehm machen, kommen gut an. Zum Beispiel die Ausstattung mit 12-V-Steckdosen. </w:t>
      </w:r>
      <w:r>
        <w:rPr>
          <w:sz w:val="22"/>
          <w:szCs w:val="22"/>
          <w:lang w:eastAsia="de-DE"/>
        </w:rPr>
        <w:t>„</w:t>
      </w:r>
      <w:r w:rsidRPr="00AF5DF0">
        <w:rPr>
          <w:sz w:val="22"/>
          <w:szCs w:val="22"/>
          <w:lang w:eastAsia="de-DE"/>
        </w:rPr>
        <w:t>Eine der beiden 12-V-Dosen nutze ich fürs Handy. Das ist sehr praktisch</w:t>
      </w:r>
      <w:r>
        <w:rPr>
          <w:sz w:val="22"/>
          <w:szCs w:val="22"/>
          <w:lang w:eastAsia="de-DE"/>
        </w:rPr>
        <w:t>“</w:t>
      </w:r>
      <w:r w:rsidRPr="00AF5DF0">
        <w:rPr>
          <w:sz w:val="22"/>
          <w:szCs w:val="22"/>
          <w:lang w:eastAsia="de-DE"/>
        </w:rPr>
        <w:t xml:space="preserve">, sagt Mohamed Khalil. Michael Tillmann, Bauleiter der Straßen und Tiefbau GmbH fasst zusammen: </w:t>
      </w:r>
      <w:r>
        <w:rPr>
          <w:sz w:val="22"/>
          <w:szCs w:val="22"/>
          <w:lang w:eastAsia="de-DE"/>
        </w:rPr>
        <w:t>„</w:t>
      </w:r>
      <w:r w:rsidRPr="00AF5DF0">
        <w:rPr>
          <w:sz w:val="22"/>
          <w:szCs w:val="22"/>
          <w:lang w:eastAsia="de-DE"/>
        </w:rPr>
        <w:t>Durch das Entkoppeln der Prozessschritte konnten wir eine Leistung von circa 4.500 m³ pro Tag realisieren. Das ist fast doppelt so viel wie die ursprüngliche Planung vorgesehen hatte.</w:t>
      </w:r>
      <w:r>
        <w:rPr>
          <w:sz w:val="22"/>
          <w:szCs w:val="22"/>
          <w:lang w:eastAsia="de-DE"/>
        </w:rPr>
        <w:t>“</w:t>
      </w:r>
    </w:p>
    <w:p w14:paraId="69C8B030" w14:textId="77777777" w:rsidR="00534F30" w:rsidRPr="00A470BD" w:rsidRDefault="00B87FB4" w:rsidP="00E7367C">
      <w:pPr>
        <w:pStyle w:val="HeadlineFotos"/>
        <w:spacing w:line="240" w:lineRule="auto"/>
        <w:rPr>
          <w:lang w:val="en-US"/>
        </w:rPr>
      </w:pPr>
      <w:r>
        <w:rPr>
          <w:rFonts w:eastAsia="Calibri" w:cs="Arial"/>
          <w:caps w:val="0"/>
          <w:szCs w:val="22"/>
        </w:rPr>
        <w:br w:type="page"/>
      </w:r>
      <w:r w:rsidR="00534F30" w:rsidRPr="00A470BD">
        <w:rPr>
          <w:rFonts w:eastAsia="Calibri" w:cs="Arial"/>
          <w:caps w:val="0"/>
          <w:szCs w:val="22"/>
          <w:lang w:val="en-US"/>
        </w:rPr>
        <w:lastRenderedPageBreak/>
        <w:t>Fotos</w:t>
      </w:r>
      <w:r w:rsidR="00534F30" w:rsidRPr="00A470BD">
        <w:rPr>
          <w:lang w:val="en-US"/>
        </w:rPr>
        <w:t>:</w:t>
      </w:r>
    </w:p>
    <w:tbl>
      <w:tblPr>
        <w:tblW w:w="0" w:type="auto"/>
        <w:tblCellSpacing w:w="71" w:type="dxa"/>
        <w:tblCellMar>
          <w:left w:w="0" w:type="dxa"/>
          <w:right w:w="0" w:type="dxa"/>
        </w:tblCellMar>
        <w:tblLook w:val="04A0" w:firstRow="1" w:lastRow="0" w:firstColumn="1" w:lastColumn="0" w:noHBand="0" w:noVBand="1"/>
      </w:tblPr>
      <w:tblGrid>
        <w:gridCol w:w="4921"/>
        <w:gridCol w:w="4576"/>
      </w:tblGrid>
      <w:tr w:rsidR="00BE5437" w:rsidRPr="00620A6C" w14:paraId="1DE05AEF" w14:textId="77777777" w:rsidTr="00B76B06">
        <w:trPr>
          <w:trHeight w:val="2270"/>
          <w:tblCellSpacing w:w="71" w:type="dxa"/>
        </w:trPr>
        <w:tc>
          <w:tcPr>
            <w:tcW w:w="4708" w:type="dxa"/>
            <w:tcBorders>
              <w:right w:val="single" w:sz="4" w:space="0" w:color="auto"/>
            </w:tcBorders>
            <w:shd w:val="clear" w:color="auto" w:fill="auto"/>
          </w:tcPr>
          <w:p w14:paraId="531C05EA" w14:textId="35AE9137" w:rsidR="0084388B" w:rsidRPr="00E04039" w:rsidRDefault="00BE5437" w:rsidP="00B76B06">
            <w:r>
              <w:rPr>
                <w:noProof/>
              </w:rPr>
              <w:drawing>
                <wp:inline distT="0" distB="0" distL="0" distR="0" wp14:anchorId="0505B982" wp14:editId="2031F2B7">
                  <wp:extent cx="2675255" cy="1812904"/>
                  <wp:effectExtent l="0" t="0" r="0" b="0"/>
                  <wp:docPr id="10"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2693192" cy="1825059"/>
                          </a:xfrm>
                          <a:prstGeom prst="rect">
                            <a:avLst/>
                          </a:prstGeom>
                        </pic:spPr>
                      </pic:pic>
                    </a:graphicData>
                  </a:graphic>
                </wp:inline>
              </w:drawing>
            </w:r>
          </w:p>
        </w:tc>
        <w:tc>
          <w:tcPr>
            <w:tcW w:w="4363" w:type="dxa"/>
            <w:shd w:val="clear" w:color="auto" w:fill="auto"/>
          </w:tcPr>
          <w:p w14:paraId="751BD219" w14:textId="27B97EE1" w:rsidR="0084388B" w:rsidRDefault="00FE28AC" w:rsidP="00B76B06">
            <w:pPr>
              <w:pStyle w:val="berschrift31"/>
              <w:widowControl w:val="0"/>
            </w:pPr>
            <w:r>
              <w:t>H</w:t>
            </w:r>
            <w:r w:rsidR="009F4517">
              <w:t>AMM</w:t>
            </w:r>
            <w:r w:rsidR="00AF5DF0">
              <w:t>_H 25i VC_01</w:t>
            </w:r>
          </w:p>
          <w:p w14:paraId="15E218DC" w14:textId="31A1CB71" w:rsidR="0084388B" w:rsidRPr="00B76B06" w:rsidRDefault="00AF5DF0" w:rsidP="00B76B06">
            <w:pPr>
              <w:autoSpaceDE w:val="0"/>
              <w:autoSpaceDN w:val="0"/>
              <w:adjustRightInd w:val="0"/>
              <w:rPr>
                <w:sz w:val="20"/>
                <w:szCs w:val="20"/>
              </w:rPr>
            </w:pPr>
            <w:r w:rsidRPr="00AF5DF0">
              <w:rPr>
                <w:sz w:val="20"/>
                <w:szCs w:val="20"/>
              </w:rPr>
              <w:t>Brechen und Verdichten im Akkord</w:t>
            </w:r>
            <w:r>
              <w:rPr>
                <w:sz w:val="20"/>
                <w:szCs w:val="20"/>
              </w:rPr>
              <w:t xml:space="preserve">: </w:t>
            </w:r>
            <w:r w:rsidRPr="00AF5DF0">
              <w:rPr>
                <w:sz w:val="20"/>
                <w:szCs w:val="20"/>
              </w:rPr>
              <w:t>Jeder der beiden VC-Walzenzüge hat beim Bau pro Tag circa 2.250 m³ in 40 cm dicken Lagen gebrochen und verdichtet.</w:t>
            </w:r>
          </w:p>
        </w:tc>
      </w:tr>
      <w:tr w:rsidR="00BE5437" w:rsidRPr="00620A6C" w14:paraId="4F4A39F4" w14:textId="77777777" w:rsidTr="00B76B06">
        <w:trPr>
          <w:trHeight w:val="2270"/>
          <w:tblCellSpacing w:w="71" w:type="dxa"/>
        </w:trPr>
        <w:tc>
          <w:tcPr>
            <w:tcW w:w="4708" w:type="dxa"/>
            <w:tcBorders>
              <w:right w:val="single" w:sz="4" w:space="0" w:color="auto"/>
            </w:tcBorders>
            <w:shd w:val="clear" w:color="auto" w:fill="auto"/>
          </w:tcPr>
          <w:p w14:paraId="430D4057" w14:textId="451CA66D" w:rsidR="0084388B" w:rsidRPr="00E04039" w:rsidRDefault="00BE5437" w:rsidP="00B76B06">
            <w:r>
              <w:rPr>
                <w:noProof/>
              </w:rPr>
              <w:drawing>
                <wp:inline distT="0" distB="0" distL="0" distR="0" wp14:anchorId="772986A6" wp14:editId="4B48684D">
                  <wp:extent cx="2675255" cy="1788185"/>
                  <wp:effectExtent l="0" t="0" r="0" b="2540"/>
                  <wp:docPr id="11"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2687029" cy="1796055"/>
                          </a:xfrm>
                          <a:prstGeom prst="rect">
                            <a:avLst/>
                          </a:prstGeom>
                        </pic:spPr>
                      </pic:pic>
                    </a:graphicData>
                  </a:graphic>
                </wp:inline>
              </w:drawing>
            </w:r>
          </w:p>
        </w:tc>
        <w:tc>
          <w:tcPr>
            <w:tcW w:w="4363" w:type="dxa"/>
            <w:shd w:val="clear" w:color="auto" w:fill="auto"/>
          </w:tcPr>
          <w:p w14:paraId="0292F961" w14:textId="0E63CBBE" w:rsidR="00AF5DF0" w:rsidRDefault="00FE28AC" w:rsidP="00AF5DF0">
            <w:pPr>
              <w:pStyle w:val="berschrift31"/>
              <w:widowControl w:val="0"/>
            </w:pPr>
            <w:r>
              <w:t>H</w:t>
            </w:r>
            <w:r w:rsidR="009F4517">
              <w:t>AMM</w:t>
            </w:r>
            <w:r w:rsidR="00AF5DF0">
              <w:t>_H 25i VC_02</w:t>
            </w:r>
          </w:p>
          <w:p w14:paraId="0F446E5A" w14:textId="4B0470A4" w:rsidR="0084388B" w:rsidRPr="00B76B06" w:rsidRDefault="00AF5DF0" w:rsidP="00B76B06">
            <w:pPr>
              <w:autoSpaceDE w:val="0"/>
              <w:autoSpaceDN w:val="0"/>
              <w:adjustRightInd w:val="0"/>
              <w:rPr>
                <w:sz w:val="20"/>
                <w:szCs w:val="20"/>
              </w:rPr>
            </w:pPr>
            <w:r w:rsidRPr="00AF5DF0">
              <w:rPr>
                <w:sz w:val="20"/>
                <w:szCs w:val="20"/>
              </w:rPr>
              <w:t>Arbeitsprozess mit dem VC-Walzenzug</w:t>
            </w:r>
            <w:r>
              <w:rPr>
                <w:sz w:val="20"/>
                <w:szCs w:val="20"/>
              </w:rPr>
              <w:t xml:space="preserve">: </w:t>
            </w:r>
            <w:r w:rsidRPr="00AF5DF0">
              <w:rPr>
                <w:sz w:val="20"/>
                <w:szCs w:val="20"/>
              </w:rPr>
              <w:t>LKW bringen das Gestein vom Steinbruch direkt zum Einbauort. Anschließend verteilt eine Raupe das Material in 40 cm hohe Lagen. Zuletzt brechen die Felsbrecher-Walzenzüge das Gestein und verdichten es dabei gleichzeitig.</w:t>
            </w:r>
          </w:p>
        </w:tc>
      </w:tr>
      <w:tr w:rsidR="00BE5437" w:rsidRPr="00620A6C" w14:paraId="6EAD04ED" w14:textId="77777777" w:rsidTr="00B76B06">
        <w:trPr>
          <w:trHeight w:val="2270"/>
          <w:tblCellSpacing w:w="71" w:type="dxa"/>
        </w:trPr>
        <w:tc>
          <w:tcPr>
            <w:tcW w:w="4708" w:type="dxa"/>
            <w:tcBorders>
              <w:right w:val="single" w:sz="4" w:space="0" w:color="auto"/>
            </w:tcBorders>
            <w:shd w:val="clear" w:color="auto" w:fill="auto"/>
          </w:tcPr>
          <w:p w14:paraId="6D9E1583" w14:textId="11CD6F4D" w:rsidR="00534F30" w:rsidRPr="00E04039" w:rsidRDefault="00A11EB6" w:rsidP="00B76B06">
            <w:r>
              <w:rPr>
                <w:noProof/>
              </w:rPr>
              <w:drawing>
                <wp:inline distT="0" distB="0" distL="0" distR="0" wp14:anchorId="11339CF7" wp14:editId="66339DF2">
                  <wp:extent cx="2688590" cy="1672323"/>
                  <wp:effectExtent l="0" t="0" r="0" b="4445"/>
                  <wp:docPr id="15"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2702455" cy="1680947"/>
                          </a:xfrm>
                          <a:prstGeom prst="rect">
                            <a:avLst/>
                          </a:prstGeom>
                        </pic:spPr>
                      </pic:pic>
                    </a:graphicData>
                  </a:graphic>
                </wp:inline>
              </w:drawing>
            </w:r>
          </w:p>
        </w:tc>
        <w:tc>
          <w:tcPr>
            <w:tcW w:w="4363" w:type="dxa"/>
            <w:shd w:val="clear" w:color="auto" w:fill="auto"/>
          </w:tcPr>
          <w:p w14:paraId="67000CF4" w14:textId="6096AAFF" w:rsidR="00AF5DF0" w:rsidRDefault="00FE28AC" w:rsidP="00AF5DF0">
            <w:pPr>
              <w:pStyle w:val="berschrift31"/>
              <w:widowControl w:val="0"/>
            </w:pPr>
            <w:r>
              <w:t>H</w:t>
            </w:r>
            <w:r w:rsidR="009F4517">
              <w:t>AMM</w:t>
            </w:r>
            <w:r w:rsidR="00AF5DF0">
              <w:t>_H 25i VC_03</w:t>
            </w:r>
          </w:p>
          <w:p w14:paraId="029A25E9" w14:textId="539DB1C0" w:rsidR="00534F30" w:rsidRPr="00B76B06" w:rsidRDefault="00AF5DF0" w:rsidP="00B76B06">
            <w:pPr>
              <w:autoSpaceDE w:val="0"/>
              <w:autoSpaceDN w:val="0"/>
              <w:adjustRightInd w:val="0"/>
              <w:rPr>
                <w:sz w:val="20"/>
                <w:szCs w:val="20"/>
              </w:rPr>
            </w:pPr>
            <w:r w:rsidRPr="00AF5DF0">
              <w:rPr>
                <w:rFonts w:eastAsia="Arial Unicode MS" w:cs="Lucida Sans"/>
                <w:bCs/>
                <w:kern w:val="2"/>
                <w:sz w:val="20"/>
                <w:szCs w:val="20"/>
                <w:lang w:eastAsia="zh-CN" w:bidi="hi-IN"/>
              </w:rPr>
              <w:t>Brechen und verdichten in einem Arbeitsgang</w:t>
            </w:r>
            <w:r>
              <w:rPr>
                <w:rFonts w:eastAsia="Arial Unicode MS" w:cs="Lucida Sans"/>
                <w:bCs/>
                <w:kern w:val="2"/>
                <w:sz w:val="20"/>
                <w:szCs w:val="20"/>
                <w:lang w:eastAsia="zh-CN" w:bidi="hi-IN"/>
              </w:rPr>
              <w:t xml:space="preserve">: </w:t>
            </w:r>
            <w:r w:rsidRPr="00AF5DF0">
              <w:rPr>
                <w:rFonts w:eastAsia="Arial Unicode MS" w:cs="Lucida Sans"/>
                <w:bCs/>
                <w:kern w:val="2"/>
                <w:sz w:val="20"/>
                <w:szCs w:val="20"/>
                <w:lang w:eastAsia="zh-CN" w:bidi="hi-IN"/>
              </w:rPr>
              <w:t>Die VC-Walzenzüge beeindrucken mit hohen Punktlasten von bis zu 50 t. Das Ergebnis wird im direkten Vergleich deutlich.</w:t>
            </w:r>
          </w:p>
        </w:tc>
      </w:tr>
      <w:tr w:rsidR="00BE5437" w:rsidRPr="00620A6C" w14:paraId="1F5AFC05" w14:textId="77777777" w:rsidTr="00B76B06">
        <w:trPr>
          <w:trHeight w:val="2270"/>
          <w:tblCellSpacing w:w="71" w:type="dxa"/>
        </w:trPr>
        <w:tc>
          <w:tcPr>
            <w:tcW w:w="4708" w:type="dxa"/>
            <w:tcBorders>
              <w:right w:val="single" w:sz="4" w:space="0" w:color="auto"/>
            </w:tcBorders>
            <w:shd w:val="clear" w:color="auto" w:fill="auto"/>
          </w:tcPr>
          <w:p w14:paraId="7EA2FB85" w14:textId="45D7E287" w:rsidR="00534F30" w:rsidRPr="00E04039" w:rsidRDefault="00BE5437" w:rsidP="00B76B06">
            <w:r>
              <w:rPr>
                <w:noProof/>
              </w:rPr>
              <w:drawing>
                <wp:inline distT="0" distB="0" distL="0" distR="0" wp14:anchorId="061A1E54" wp14:editId="0BCCED62">
                  <wp:extent cx="2688590" cy="1323970"/>
                  <wp:effectExtent l="0" t="0" r="0" b="0"/>
                  <wp:docPr id="14" name="Grafi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2742295" cy="1350417"/>
                          </a:xfrm>
                          <a:prstGeom prst="rect">
                            <a:avLst/>
                          </a:prstGeom>
                        </pic:spPr>
                      </pic:pic>
                    </a:graphicData>
                  </a:graphic>
                </wp:inline>
              </w:drawing>
            </w:r>
          </w:p>
        </w:tc>
        <w:tc>
          <w:tcPr>
            <w:tcW w:w="4363" w:type="dxa"/>
            <w:shd w:val="clear" w:color="auto" w:fill="auto"/>
          </w:tcPr>
          <w:p w14:paraId="76448401" w14:textId="06B3F2AE" w:rsidR="00AF5DF0" w:rsidRDefault="00FE28AC" w:rsidP="00AF5DF0">
            <w:pPr>
              <w:pStyle w:val="berschrift31"/>
              <w:widowControl w:val="0"/>
            </w:pPr>
            <w:r>
              <w:t>H</w:t>
            </w:r>
            <w:r w:rsidR="009F4517">
              <w:t>AMM</w:t>
            </w:r>
            <w:r w:rsidR="00AF5DF0">
              <w:t>_H 25i VC_04</w:t>
            </w:r>
          </w:p>
          <w:p w14:paraId="60D67BDF" w14:textId="070D4F8B" w:rsidR="00534F30" w:rsidRPr="00B76B06" w:rsidRDefault="00AF5DF0" w:rsidP="00B76B06">
            <w:pPr>
              <w:autoSpaceDE w:val="0"/>
              <w:autoSpaceDN w:val="0"/>
              <w:adjustRightInd w:val="0"/>
              <w:rPr>
                <w:sz w:val="20"/>
                <w:szCs w:val="20"/>
              </w:rPr>
            </w:pPr>
            <w:r w:rsidRPr="00AF5DF0">
              <w:rPr>
                <w:color w:val="000000"/>
                <w:sz w:val="20"/>
                <w:szCs w:val="20"/>
              </w:rPr>
              <w:t>Flexibles Wechselsystem</w:t>
            </w:r>
            <w:r>
              <w:rPr>
                <w:color w:val="000000"/>
                <w:sz w:val="20"/>
                <w:szCs w:val="20"/>
              </w:rPr>
              <w:t xml:space="preserve">: </w:t>
            </w:r>
            <w:r w:rsidRPr="00AF5DF0">
              <w:rPr>
                <w:color w:val="000000"/>
                <w:sz w:val="20"/>
                <w:szCs w:val="20"/>
              </w:rPr>
              <w:t xml:space="preserve">Die Bandage der VC-Walzenzüge ist 2,22 m breit und mit 150 Wechselhaltern bestückt. Die Montage und Demontage der Werkzeuge beim VC-Wechselsystem von </w:t>
            </w:r>
            <w:r w:rsidR="00FE28AC">
              <w:rPr>
                <w:color w:val="000000"/>
                <w:sz w:val="20"/>
                <w:szCs w:val="20"/>
              </w:rPr>
              <w:t>Hamm</w:t>
            </w:r>
            <w:r w:rsidRPr="00AF5DF0">
              <w:rPr>
                <w:color w:val="000000"/>
                <w:sz w:val="20"/>
                <w:szCs w:val="20"/>
              </w:rPr>
              <w:t xml:space="preserve"> ist extrem einfach. Insgesamt stehen drei verschiedene Meißel zur Verfügung.</w:t>
            </w:r>
          </w:p>
        </w:tc>
      </w:tr>
    </w:tbl>
    <w:p w14:paraId="008315C6" w14:textId="77777777" w:rsidR="00010F2C" w:rsidRDefault="00010F2C" w:rsidP="000F3C22">
      <w:pPr>
        <w:autoSpaceDE w:val="0"/>
        <w:autoSpaceDN w:val="0"/>
        <w:adjustRightInd w:val="0"/>
        <w:rPr>
          <w:rFonts w:cs="AvenirNextW1G-Regular"/>
          <w:i/>
          <w:sz w:val="22"/>
          <w:szCs w:val="22"/>
        </w:rPr>
      </w:pPr>
    </w:p>
    <w:p w14:paraId="133BB118" w14:textId="77777777" w:rsidR="000D7655" w:rsidRDefault="000D7655" w:rsidP="009B2BA5">
      <w:pPr>
        <w:pStyle w:val="Text"/>
        <w:rPr>
          <w:i/>
          <w:u w:val="single"/>
        </w:rPr>
      </w:pPr>
    </w:p>
    <w:p w14:paraId="14CA70BD" w14:textId="77777777" w:rsidR="000D7655" w:rsidRDefault="000D7655" w:rsidP="009B2BA5">
      <w:pPr>
        <w:pStyle w:val="Text"/>
        <w:rPr>
          <w:i/>
          <w:u w:val="single"/>
        </w:rPr>
      </w:pPr>
    </w:p>
    <w:p w14:paraId="66C736A9" w14:textId="77777777" w:rsidR="000D7655" w:rsidRDefault="000D7655" w:rsidP="009B2BA5">
      <w:pPr>
        <w:pStyle w:val="Text"/>
        <w:rPr>
          <w:i/>
          <w:u w:val="single"/>
        </w:rPr>
      </w:pPr>
    </w:p>
    <w:p w14:paraId="3FE70B1F" w14:textId="3553B157" w:rsidR="009B2BA5" w:rsidRDefault="009B2BA5" w:rsidP="009B2BA5">
      <w:pPr>
        <w:pStyle w:val="Text"/>
      </w:pPr>
      <w:r>
        <w:rPr>
          <w:i/>
          <w:u w:val="single"/>
        </w:rPr>
        <w:lastRenderedPageBreak/>
        <w:t>Hinweis:</w:t>
      </w:r>
      <w:r>
        <w:rPr>
          <w:i/>
        </w:rPr>
        <w:t xml:space="preserve"> Diese Fotos dienen lediglich der Voransicht. Für den Abdruck in den Publikationen nutzen Sie bitte die Fotos in 300 dpi-Auflösung, die auf den Webseiten der Wirtgen Group als Download zur Verfügung stehen.</w:t>
      </w:r>
    </w:p>
    <w:p w14:paraId="1DA274F7" w14:textId="77777777" w:rsidR="009B2BA5" w:rsidRDefault="009B2BA5" w:rsidP="009B2BA5">
      <w:pPr>
        <w:pStyle w:val="Text"/>
      </w:pPr>
    </w:p>
    <w:p w14:paraId="7C6DD85B" w14:textId="77777777" w:rsidR="009B2BA5" w:rsidRDefault="009B2BA5" w:rsidP="009B2BA5">
      <w:pPr>
        <w:pStyle w:val="Text"/>
      </w:pPr>
    </w:p>
    <w:tbl>
      <w:tblPr>
        <w:tblW w:w="9524" w:type="dxa"/>
        <w:tblLayout w:type="fixed"/>
        <w:tblCellMar>
          <w:left w:w="0" w:type="dxa"/>
          <w:right w:w="60" w:type="dxa"/>
        </w:tblCellMar>
        <w:tblLook w:val="04A0" w:firstRow="1" w:lastRow="0" w:firstColumn="1" w:lastColumn="0" w:noHBand="0" w:noVBand="1"/>
      </w:tblPr>
      <w:tblGrid>
        <w:gridCol w:w="4779"/>
        <w:gridCol w:w="4745"/>
      </w:tblGrid>
      <w:tr w:rsidR="009B2BA5" w14:paraId="2A824962" w14:textId="77777777" w:rsidTr="00C22A97">
        <w:tc>
          <w:tcPr>
            <w:tcW w:w="4778" w:type="dxa"/>
            <w:tcBorders>
              <w:right w:val="single" w:sz="48" w:space="0" w:color="FFFFFF"/>
            </w:tcBorders>
            <w:shd w:val="clear" w:color="auto" w:fill="auto"/>
          </w:tcPr>
          <w:p w14:paraId="1D1216D8" w14:textId="77777777" w:rsidR="009B2BA5" w:rsidRDefault="009B2BA5" w:rsidP="00C22A97">
            <w:pPr>
              <w:pStyle w:val="HeadlineKontakte"/>
              <w:widowControl w:val="0"/>
            </w:pPr>
            <w:r w:rsidRPr="00C22A97">
              <w:rPr>
                <w:rFonts w:eastAsia="Calibri" w:cs="Arial"/>
                <w:caps w:val="0"/>
                <w:szCs w:val="22"/>
              </w:rPr>
              <w:t>Weitere Informationen</w:t>
            </w:r>
            <w:r>
              <w:br/>
            </w:r>
            <w:r w:rsidRPr="00C22A97">
              <w:rPr>
                <w:rFonts w:eastAsia="Calibri" w:cs="Arial"/>
                <w:caps w:val="0"/>
                <w:szCs w:val="22"/>
              </w:rPr>
              <w:t>erhalten Sie bei</w:t>
            </w:r>
            <w:r>
              <w:t>:</w:t>
            </w:r>
          </w:p>
          <w:p w14:paraId="5A0312A4" w14:textId="77777777" w:rsidR="009B2BA5" w:rsidRDefault="009B2BA5" w:rsidP="00C22A97">
            <w:pPr>
              <w:pStyle w:val="Text"/>
              <w:widowControl w:val="0"/>
            </w:pPr>
            <w:r>
              <w:t>WIRTGEN GROUP</w:t>
            </w:r>
          </w:p>
          <w:p w14:paraId="42EF03EE" w14:textId="77777777" w:rsidR="009B2BA5" w:rsidRDefault="009B2BA5" w:rsidP="00C22A97">
            <w:pPr>
              <w:pStyle w:val="Text"/>
              <w:widowControl w:val="0"/>
            </w:pPr>
            <w:r>
              <w:t>Public Relations</w:t>
            </w:r>
          </w:p>
          <w:p w14:paraId="66769FF2" w14:textId="77777777" w:rsidR="009B2BA5" w:rsidRDefault="009B2BA5" w:rsidP="00C22A97">
            <w:pPr>
              <w:pStyle w:val="Text"/>
              <w:widowControl w:val="0"/>
            </w:pPr>
            <w:r>
              <w:t>Reinhard-Wirtgen-Straße 2</w:t>
            </w:r>
          </w:p>
          <w:p w14:paraId="6FE2E2A0" w14:textId="77777777" w:rsidR="009B2BA5" w:rsidRDefault="009B2BA5" w:rsidP="00C22A97">
            <w:pPr>
              <w:pStyle w:val="Text"/>
              <w:widowControl w:val="0"/>
            </w:pPr>
            <w:r>
              <w:t>53578 Windhagen</w:t>
            </w:r>
          </w:p>
          <w:p w14:paraId="6E1CFA8D" w14:textId="77777777" w:rsidR="009B2BA5" w:rsidRDefault="009B2BA5" w:rsidP="00C22A97">
            <w:pPr>
              <w:pStyle w:val="Text"/>
              <w:widowControl w:val="0"/>
            </w:pPr>
            <w:r>
              <w:t>Deutschland</w:t>
            </w:r>
          </w:p>
          <w:p w14:paraId="68C4D8C0" w14:textId="77777777" w:rsidR="009B2BA5" w:rsidRDefault="009B2BA5" w:rsidP="00C22A97">
            <w:pPr>
              <w:pStyle w:val="Text"/>
              <w:widowControl w:val="0"/>
            </w:pPr>
          </w:p>
          <w:p w14:paraId="62BC1C62" w14:textId="77777777" w:rsidR="009B2BA5" w:rsidRPr="00C22A97" w:rsidRDefault="009B2BA5" w:rsidP="00C22A97">
            <w:pPr>
              <w:pStyle w:val="Text"/>
              <w:widowControl w:val="0"/>
              <w:rPr>
                <w:color w:val="FF0000"/>
              </w:rPr>
            </w:pPr>
            <w:r>
              <w:t>Telefon: +49 (0) 2645 131 – 1966</w:t>
            </w:r>
          </w:p>
          <w:p w14:paraId="6599C540" w14:textId="77777777" w:rsidR="009B2BA5" w:rsidRDefault="009B2BA5" w:rsidP="00C22A97">
            <w:pPr>
              <w:pStyle w:val="Text"/>
              <w:widowControl w:val="0"/>
            </w:pPr>
            <w:r>
              <w:t>Telefax: +49 (0) 2645 131 – 499</w:t>
            </w:r>
          </w:p>
          <w:p w14:paraId="5731066F" w14:textId="77777777" w:rsidR="009B2BA5" w:rsidRDefault="009B2BA5" w:rsidP="00C22A97">
            <w:pPr>
              <w:pStyle w:val="Text"/>
              <w:widowControl w:val="0"/>
            </w:pPr>
            <w:r>
              <w:t>E-Mail: PR@wirtgen-group.com</w:t>
            </w:r>
          </w:p>
          <w:p w14:paraId="0ED0B688" w14:textId="77777777" w:rsidR="009B2BA5" w:rsidRPr="00C22A97" w:rsidRDefault="009B2BA5" w:rsidP="00C22A97">
            <w:pPr>
              <w:pStyle w:val="Text"/>
              <w:widowControl w:val="0"/>
              <w:rPr>
                <w:lang w:val="en-US"/>
              </w:rPr>
            </w:pPr>
            <w:r w:rsidRPr="00C22A97">
              <w:rPr>
                <w:lang w:val="en-US"/>
              </w:rPr>
              <w:t>www.wirtgen-group.com</w:t>
            </w:r>
          </w:p>
          <w:p w14:paraId="77F72996" w14:textId="77777777" w:rsidR="009B2BA5" w:rsidRDefault="009B2BA5" w:rsidP="00C22A97">
            <w:pPr>
              <w:pStyle w:val="Text"/>
              <w:widowControl w:val="0"/>
            </w:pPr>
          </w:p>
          <w:p w14:paraId="600369CF" w14:textId="77777777" w:rsidR="009B2BA5" w:rsidRDefault="009B2BA5" w:rsidP="00C22A97">
            <w:pPr>
              <w:pStyle w:val="Text"/>
              <w:widowControl w:val="0"/>
            </w:pPr>
          </w:p>
          <w:p w14:paraId="7DFF1006" w14:textId="77777777" w:rsidR="009B2BA5" w:rsidRDefault="009B2BA5" w:rsidP="00C22A97">
            <w:pPr>
              <w:pStyle w:val="Text"/>
              <w:widowControl w:val="0"/>
            </w:pPr>
          </w:p>
        </w:tc>
        <w:tc>
          <w:tcPr>
            <w:tcW w:w="4745" w:type="dxa"/>
            <w:tcBorders>
              <w:left w:val="single" w:sz="48" w:space="0" w:color="FFFFFF"/>
            </w:tcBorders>
            <w:shd w:val="clear" w:color="auto" w:fill="auto"/>
          </w:tcPr>
          <w:p w14:paraId="3D16B09D" w14:textId="77777777" w:rsidR="009B2BA5" w:rsidRDefault="009B2BA5" w:rsidP="00C22A97">
            <w:pPr>
              <w:pStyle w:val="Text"/>
              <w:widowControl w:val="0"/>
            </w:pPr>
          </w:p>
        </w:tc>
      </w:tr>
    </w:tbl>
    <w:p w14:paraId="6345FFFA" w14:textId="77777777" w:rsidR="00D166AC" w:rsidRPr="00E04039" w:rsidRDefault="00D166AC" w:rsidP="009B2BA5">
      <w:pPr>
        <w:pStyle w:val="Text"/>
      </w:pPr>
    </w:p>
    <w:sectPr w:rsidR="00D166AC" w:rsidRPr="00E04039" w:rsidSect="00CA4A09">
      <w:headerReference w:type="default" r:id="rId12"/>
      <w:footerReference w:type="default" r:id="rId13"/>
      <w:headerReference w:type="first" r:id="rId14"/>
      <w:footerReference w:type="first" r:id="rId15"/>
      <w:pgSz w:w="11906" w:h="16838" w:code="9"/>
      <w:pgMar w:top="2268" w:right="1191" w:bottom="964" w:left="1191"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28D23E7A" w14:textId="77777777" w:rsidR="00BE7A5F" w:rsidRDefault="00BE7A5F" w:rsidP="00E55534">
      <w:r>
        <w:separator/>
      </w:r>
    </w:p>
  </w:endnote>
  <w:endnote w:type="continuationSeparator" w:id="0">
    <w:p w14:paraId="1B1340E6" w14:textId="77777777" w:rsidR="00BE7A5F" w:rsidRDefault="00BE7A5F" w:rsidP="00E5553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Verdana">
    <w:panose1 w:val="020B0604030504040204"/>
    <w:charset w:val="00"/>
    <w:family w:val="swiss"/>
    <w:pitch w:val="variable"/>
    <w:sig w:usb0="A00006FF" w:usb1="4000205B" w:usb2="00000010" w:usb3="00000000" w:csb0="0000019F" w:csb1="00000000"/>
  </w:font>
  <w:font w:name="Times New Roman">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HelveticaNeue-LightItalic">
    <w:altName w:val="Times New Roman"/>
    <w:charset w:val="00"/>
    <w:family w:val="auto"/>
    <w:pitch w:val="variable"/>
    <w:sig w:usb0="A00002FF" w:usb1="5000205B" w:usb2="00000002" w:usb3="00000000" w:csb0="00000007" w:csb1="00000000"/>
  </w:font>
  <w:font w:name="Arial Unicode MS">
    <w:panose1 w:val="020B0604020202020204"/>
    <w:charset w:val="00"/>
    <w:family w:val="roman"/>
    <w:pitch w:val="variable"/>
    <w:sig w:usb0="00000003" w:usb1="00000000" w:usb2="00000000" w:usb3="00000000" w:csb0="00000001" w:csb1="00000000"/>
  </w:font>
  <w:font w:name="Lucida Sans">
    <w:panose1 w:val="020B0602030504020204"/>
    <w:charset w:val="00"/>
    <w:family w:val="swiss"/>
    <w:pitch w:val="variable"/>
    <w:sig w:usb0="00000003" w:usb1="00000000" w:usb2="00000000" w:usb3="00000000" w:csb0="00000001" w:csb1="00000000"/>
  </w:font>
  <w:font w:name="HelveticaNeue-Medium">
    <w:charset w:val="4D"/>
    <w:family w:val="swiss"/>
    <w:pitch w:val="variable"/>
    <w:sig w:usb0="A00002FF" w:usb1="5000205B" w:usb2="00000002" w:usb3="00000000" w:csb0="0000009B"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0002EFF" w:usb1="C000247B" w:usb2="00000009" w:usb3="00000000" w:csb0="000001FF" w:csb1="00000000"/>
  </w:font>
  <w:font w:name="AvenirNextW1G-Regular">
    <w:panose1 w:val="00000000000000000000"/>
    <w:charset w:val="00"/>
    <w:family w:val="swiss"/>
    <w:notTrueType/>
    <w:pitch w:val="default"/>
    <w:sig w:usb0="00000003" w:usb1="00000000" w:usb2="00000000" w:usb3="00000000" w:csb0="00000001"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tbl>
    <w:tblPr>
      <w:tblpPr w:leftFromText="142" w:rightFromText="142" w:vertAnchor="page" w:horzAnchor="page" w:tblpX="1192" w:tblpY="16217"/>
      <w:tblW w:w="0" w:type="auto"/>
      <w:tblLayout w:type="fixed"/>
      <w:tblCellMar>
        <w:left w:w="0" w:type="dxa"/>
        <w:right w:w="0" w:type="dxa"/>
      </w:tblCellMar>
      <w:tblLook w:val="04A0" w:firstRow="1" w:lastRow="0" w:firstColumn="1" w:lastColumn="0" w:noHBand="0" w:noVBand="1"/>
    </w:tblPr>
    <w:tblGrid>
      <w:gridCol w:w="8364"/>
      <w:gridCol w:w="1160"/>
    </w:tblGrid>
    <w:tr w:rsidR="00533132" w:rsidRPr="00723F4F" w14:paraId="35E96F3F" w14:textId="77777777" w:rsidTr="00723F4F">
      <w:trPr>
        <w:trHeight w:hRule="exact" w:val="227"/>
      </w:trPr>
      <w:tc>
        <w:tcPr>
          <w:tcW w:w="8364" w:type="dxa"/>
          <w:shd w:val="clear" w:color="auto" w:fill="auto"/>
        </w:tcPr>
        <w:p w14:paraId="6203B0C3" w14:textId="77777777" w:rsidR="00533132" w:rsidRPr="00723F4F" w:rsidRDefault="00533132" w:rsidP="00723F4F">
          <w:pPr>
            <w:pStyle w:val="Kolumnentitel"/>
            <w:rPr>
              <w:szCs w:val="20"/>
            </w:rPr>
          </w:pPr>
        </w:p>
      </w:tc>
      <w:tc>
        <w:tcPr>
          <w:tcW w:w="1160" w:type="dxa"/>
          <w:shd w:val="clear" w:color="auto" w:fill="auto"/>
        </w:tcPr>
        <w:p w14:paraId="42A1027E" w14:textId="6D3591AF" w:rsidR="00533132" w:rsidRPr="00723F4F" w:rsidRDefault="00533132" w:rsidP="00723F4F">
          <w:pPr>
            <w:pStyle w:val="Seitenzahlen"/>
            <w:rPr>
              <w:szCs w:val="20"/>
            </w:rPr>
          </w:pPr>
          <w:r w:rsidRPr="00723F4F">
            <w:rPr>
              <w:szCs w:val="20"/>
            </w:rPr>
            <w:fldChar w:fldCharType="begin"/>
          </w:r>
          <w:r w:rsidRPr="00723F4F">
            <w:rPr>
              <w:szCs w:val="20"/>
            </w:rPr>
            <w:instrText xml:space="preserve"> </w:instrText>
          </w:r>
          <w:r w:rsidR="00BD5391">
            <w:rPr>
              <w:szCs w:val="20"/>
            </w:rPr>
            <w:instrText>PAGE</w:instrText>
          </w:r>
          <w:r w:rsidRPr="00723F4F">
            <w:rPr>
              <w:szCs w:val="20"/>
            </w:rPr>
            <w:instrText xml:space="preserve"> \# "</w:instrText>
          </w:r>
          <w:r w:rsidR="00BD5391">
            <w:rPr>
              <w:szCs w:val="20"/>
            </w:rPr>
            <w:instrText>00</w:instrText>
          </w:r>
          <w:r w:rsidRPr="00723F4F">
            <w:rPr>
              <w:szCs w:val="20"/>
            </w:rPr>
            <w:instrText>"</w:instrText>
          </w:r>
          <w:r w:rsidRPr="00723F4F">
            <w:rPr>
              <w:szCs w:val="20"/>
            </w:rPr>
            <w:fldChar w:fldCharType="separate"/>
          </w:r>
          <w:r w:rsidR="00E050C2">
            <w:rPr>
              <w:noProof/>
              <w:szCs w:val="20"/>
            </w:rPr>
            <w:t>02</w:t>
          </w:r>
          <w:r w:rsidRPr="00723F4F">
            <w:rPr>
              <w:szCs w:val="20"/>
            </w:rPr>
            <w:fldChar w:fldCharType="end"/>
          </w:r>
        </w:p>
      </w:tc>
    </w:tr>
  </w:tbl>
  <w:p w14:paraId="575D84B3" w14:textId="43F4A184" w:rsidR="00533132" w:rsidRDefault="009E0361">
    <w:pPr>
      <w:pStyle w:val="Fuzeile"/>
    </w:pPr>
    <w:r>
      <w:rPr>
        <w:noProof/>
        <w:lang w:eastAsia="de-DE"/>
      </w:rPr>
      <mc:AlternateContent>
        <mc:Choice Requires="wps">
          <w:drawing>
            <wp:anchor distT="0" distB="0" distL="114300" distR="114300" simplePos="0" relativeHeight="251659264" behindDoc="0" locked="0" layoutInCell="1" allowOverlap="1" wp14:anchorId="0CE9E954" wp14:editId="4D8D61FA">
              <wp:simplePos x="0" y="0"/>
              <wp:positionH relativeFrom="page">
                <wp:posOffset>756285</wp:posOffset>
              </wp:positionH>
              <wp:positionV relativeFrom="page">
                <wp:posOffset>10189210</wp:posOffset>
              </wp:positionV>
              <wp:extent cx="6047740" cy="17780"/>
              <wp:effectExtent l="0" t="0" r="0" b="0"/>
              <wp:wrapNone/>
              <wp:docPr id="12" name="Rechteck 1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a:xfrm>
                        <a:off x="0" y="0"/>
                        <a:ext cx="6047740" cy="17780"/>
                      </a:xfrm>
                      <a:prstGeom prst="rect">
                        <a:avLst/>
                      </a:prstGeom>
                      <a:solidFill>
                        <a:srgbClr val="41535D"/>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712F2B0" id="Rechteck 12" o:spid="_x0000_s1026" style="position:absolute;margin-left:59.55pt;margin-top:802.3pt;width:476.2pt;height:1.4pt;z-index:25165926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" fillcolor="#41535d" stroked="f" strokeweight="2pt">
              <w10:wrap anchorx="page" anchory="page"/>
            </v:rect>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tbl>
    <w:tblPr>
      <w:tblpPr w:leftFromText="142" w:rightFromText="142" w:vertAnchor="page" w:horzAnchor="page" w:tblpX="1192" w:tblpY="15934"/>
      <w:tblOverlap w:val="never"/>
      <w:tblW w:w="0" w:type="auto"/>
      <w:tblCellMar>
        <w:left w:w="0" w:type="dxa"/>
        <w:right w:w="0" w:type="dxa"/>
      </w:tblCellMar>
      <w:tblLook w:val="04A0" w:firstRow="1" w:lastRow="0" w:firstColumn="1" w:lastColumn="0" w:noHBand="0" w:noVBand="1"/>
    </w:tblPr>
    <w:tblGrid>
      <w:gridCol w:w="9524"/>
    </w:tblGrid>
    <w:tr w:rsidR="00533132" w:rsidRPr="00723F4F" w14:paraId="77E20730" w14:textId="77777777" w:rsidTr="00723F4F">
      <w:tc>
        <w:tcPr>
          <w:tcW w:w="9664" w:type="dxa"/>
          <w:shd w:val="clear" w:color="auto" w:fill="auto"/>
        </w:tcPr>
        <w:p w14:paraId="7C9EEC74" w14:textId="77777777" w:rsidR="00533132" w:rsidRPr="00723F4F" w:rsidRDefault="00533132" w:rsidP="00723F4F">
          <w:pPr>
            <w:pStyle w:val="Fuzeile"/>
            <w:spacing w:before="96" w:after="96"/>
            <w:rPr>
              <w:szCs w:val="20"/>
            </w:rPr>
          </w:pPr>
          <w:r w:rsidRPr="00723F4F">
            <w:rPr>
              <w:rStyle w:val="Hervorhebung"/>
              <w:szCs w:val="20"/>
            </w:rPr>
            <w:t>WIRTGEN GmbH</w:t>
          </w:r>
          <w:r w:rsidRPr="00723F4F">
            <w:rPr>
              <w:szCs w:val="20"/>
            </w:rPr>
            <w:t xml:space="preserve"> · Reinhard-Wirtgen-Str. 2 · D-53578 Windhagen · T: +49 26 45 / 131 0</w:t>
          </w:r>
        </w:p>
      </w:tc>
    </w:tr>
  </w:tbl>
  <w:p w14:paraId="353AAFC1" w14:textId="26D8D60D" w:rsidR="00533132" w:rsidRDefault="009E0361">
    <w:pPr>
      <w:pStyle w:val="Fuzeile"/>
    </w:pPr>
    <w:r>
      <w:rPr>
        <w:noProof/>
        <w:lang w:eastAsia="de-DE"/>
      </w:rPr>
      <mc:AlternateContent>
        <mc:Choice Requires="wps">
          <w:drawing>
            <wp:anchor distT="0" distB="0" distL="114300" distR="114300" simplePos="0" relativeHeight="251658240" behindDoc="0" locked="0" layoutInCell="1" allowOverlap="1" wp14:anchorId="54CF0F43" wp14:editId="4F98754C">
              <wp:simplePos x="0" y="0"/>
              <wp:positionH relativeFrom="page">
                <wp:posOffset>756285</wp:posOffset>
              </wp:positionH>
              <wp:positionV relativeFrom="page">
                <wp:posOffset>10081260</wp:posOffset>
              </wp:positionV>
              <wp:extent cx="6047740" cy="17780"/>
              <wp:effectExtent l="0" t="0" r="0" b="0"/>
              <wp:wrapNone/>
              <wp:docPr id="6" name="Rechteck 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a:xfrm>
                        <a:off x="0" y="0"/>
                        <a:ext cx="6047740" cy="17780"/>
                      </a:xfrm>
                      <a:prstGeom prst="rect">
                        <a:avLst/>
                      </a:prstGeom>
                      <a:solidFill>
                        <a:srgbClr val="41535D"/>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C6A07C1" id="Rechteck 6" o:spid="_x0000_s1026" style="position:absolute;margin-left:59.55pt;margin-top:793.8pt;width:476.2pt;height:1.4pt;z-index:2516582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" fillcolor="#41535d" stroked="f" strokeweight="2pt">
              <w10:wrap anchorx="page" anchory="page"/>
            </v:rect>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57227112" w14:textId="77777777" w:rsidR="00BE7A5F" w:rsidRDefault="00BE7A5F" w:rsidP="00E55534">
      <w:r>
        <w:separator/>
      </w:r>
    </w:p>
  </w:footnote>
  <w:footnote w:type="continuationSeparator" w:id="0">
    <w:p w14:paraId="668D9E10" w14:textId="77777777" w:rsidR="00BE7A5F" w:rsidRDefault="00BE7A5F" w:rsidP="00E5553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8B8FF3B" w14:textId="028478AC" w:rsidR="00533132" w:rsidRPr="00533132" w:rsidRDefault="009E0361" w:rsidP="00533132">
    <w:pPr>
      <w:pStyle w:val="Kopfzeile"/>
    </w:pPr>
    <w:r>
      <w:rPr>
        <w:noProof/>
        <w:lang w:eastAsia="de-DE"/>
      </w:rPr>
      <w:drawing>
        <wp:anchor distT="0" distB="0" distL="114300" distR="114300" simplePos="0" relativeHeight="251660288" behindDoc="1" locked="0" layoutInCell="1" allowOverlap="1" wp14:anchorId="25DF91D2" wp14:editId="3E19E574">
          <wp:simplePos x="0" y="0"/>
          <wp:positionH relativeFrom="column">
            <wp:posOffset>-759460</wp:posOffset>
          </wp:positionH>
          <wp:positionV relativeFrom="paragraph">
            <wp:posOffset>-453390</wp:posOffset>
          </wp:positionV>
          <wp:extent cx="7559675" cy="10693400"/>
          <wp:effectExtent l="0" t="0" r="0" b="0"/>
          <wp:wrapNone/>
          <wp:docPr id="1" name="Bild 12" descr="VorlagePressemitteil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12" descr="VorlagePressemitteilu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559675" cy="10693400"/>
                  </a:xfrm>
                  <a:prstGeom prst="rect">
                    <a:avLst/>
                  </a:prstGeom>
                  <a:noFill/>
                </pic:spPr>
              </pic:pic>
            </a:graphicData>
          </a:graphic>
          <wp14:sizeRelH relativeFrom="page">
            <wp14:pctWidth>0</wp14:pctWidth>
          </wp14:sizeRelH>
          <wp14:sizeRelV relativeFrom="page">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BAF8E6E" w14:textId="71BF11F2" w:rsidR="00533132" w:rsidRDefault="009E0361">
    <w:pPr>
      <w:pStyle w:val="Kopfzeile"/>
    </w:pPr>
    <w:r>
      <w:rPr>
        <w:noProof/>
        <w:lang w:eastAsia="de-DE"/>
      </w:rPr>
      <mc:AlternateContent>
        <mc:Choice Requires="wps">
          <w:drawing>
            <wp:anchor distT="0" distB="0" distL="114300" distR="114300" simplePos="0" relativeHeight="251657216" behindDoc="0" locked="0" layoutInCell="1" allowOverlap="1" wp14:anchorId="04A8EC4C" wp14:editId="632DDE89">
              <wp:simplePos x="0" y="0"/>
              <wp:positionH relativeFrom="page">
                <wp:posOffset>756285</wp:posOffset>
              </wp:positionH>
              <wp:positionV relativeFrom="page">
                <wp:posOffset>935990</wp:posOffset>
              </wp:positionV>
              <wp:extent cx="6047740" cy="36195"/>
              <wp:effectExtent l="0" t="0" r="0" b="0"/>
              <wp:wrapNone/>
              <wp:docPr id="7" name="Rechteck 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a:xfrm>
                        <a:off x="0" y="0"/>
                        <a:ext cx="6047740" cy="36195"/>
                      </a:xfrm>
                      <a:prstGeom prst="rect">
                        <a:avLst/>
                      </a:prstGeom>
                      <a:solidFill>
                        <a:srgbClr val="41535D"/>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73F7B3D" id="Rechteck 5" o:spid="_x0000_s1026" style="position:absolute;margin-left:59.55pt;margin-top:73.7pt;width:476.2pt;height:2.85pt;z-index:2516572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" fillcolor="#41535d" stroked="f" strokeweight="2pt">
              <w10:wrap anchorx="page" anchory="page"/>
            </v:rect>
          </w:pict>
        </mc:Fallback>
      </mc:AlternateContent>
    </w:r>
    <w:r>
      <w:rPr>
        <w:noProof/>
        <w:lang w:eastAsia="de-DE"/>
      </w:rPr>
      <w:drawing>
        <wp:anchor distT="0" distB="0" distL="114300" distR="114300" simplePos="0" relativeHeight="251656192" behindDoc="0" locked="0" layoutInCell="1" allowOverlap="1" wp14:anchorId="5F7DDC99" wp14:editId="16AD34BC">
          <wp:simplePos x="0" y="0"/>
          <wp:positionH relativeFrom="page">
            <wp:posOffset>5328920</wp:posOffset>
          </wp:positionH>
          <wp:positionV relativeFrom="page">
            <wp:posOffset>421005</wp:posOffset>
          </wp:positionV>
          <wp:extent cx="1475740" cy="79375"/>
          <wp:effectExtent l="0" t="0" r="0" b="0"/>
          <wp:wrapNone/>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3"/>
                  <pic:cNvPicPr>
                    <a:picLocks noChangeAspect="1" noChangeArrowheads="1"/>
                  </pic:cNvPicPr>
                </pic:nvPicPr>
                <pic:blipFill>
                  <a:blip>
                    <a:extLst>
                      <a:ext uri="{28A0092B-C50C-407E-A947-70E740481C1C}">
                        <a14:useLocalDpi xmlns:a14="http://schemas.microsoft.com/office/drawing/2010/main" val="0"/>
                      </a:ext>
                    </a:extLst>
                  </a:blip>
                  <a:srcRect/>
                  <a:stretch>
                    <a:fillRect/>
                  </a:stretch>
                </pic:blipFill>
                <pic:spPr bwMode="auto">
                  <a:xfrm>
                    <a:off x="0" y="0"/>
                    <a:ext cx="1475740" cy="79375"/>
                  </a:xfrm>
                  <a:prstGeom prst="rect">
                    <a:avLst/>
                  </a:prstGeom>
                  <a:noFill/>
                </pic:spPr>
              </pic:pic>
            </a:graphicData>
          </a:graphic>
          <wp14:sizeRelH relativeFrom="margin">
            <wp14:pctWidth>0</wp14:pctWidth>
          </wp14:sizeRelH>
          <wp14:sizeRelV relativeFrom="margin">
            <wp14:pctHeight>0</wp14:pctHeight>
          </wp14:sizeRelV>
        </wp:anchor>
      </w:drawing>
    </w:r>
    <w:r>
      <w:rPr>
        <w:noProof/>
        <w:lang w:eastAsia="de-DE"/>
      </w:rPr>
      <w:drawing>
        <wp:anchor distT="0" distB="0" distL="114300" distR="114300" simplePos="0" relativeHeight="251655168" behindDoc="0" locked="0" layoutInCell="1" allowOverlap="1" wp14:anchorId="7A84D43D" wp14:editId="03B110D2">
          <wp:simplePos x="0" y="0"/>
          <wp:positionH relativeFrom="page">
            <wp:posOffset>756285</wp:posOffset>
          </wp:positionH>
          <wp:positionV relativeFrom="page">
            <wp:posOffset>360045</wp:posOffset>
          </wp:positionV>
          <wp:extent cx="3290570" cy="360045"/>
          <wp:effectExtent l="0" t="0" r="0" b="0"/>
          <wp:wrapNone/>
          <wp:docPr id="2"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
                  <pic:cNvPicPr>
                    <a:picLocks noChangeAspect="1" noChangeArrowheads="1"/>
                  </pic:cNvPicPr>
                </pic:nvPicPr>
                <pic:blipFill>
                  <a:blip>
                    <a:extLst>
                      <a:ext uri="{28A0092B-C50C-407E-A947-70E740481C1C}">
                        <a14:useLocalDpi xmlns:a14="http://schemas.microsoft.com/office/drawing/2010/main" val="0"/>
                      </a:ext>
                    </a:extLst>
                  </a:blip>
                  <a:srcRect/>
                  <a:stretch>
                    <a:fillRect/>
                  </a:stretch>
                </pic:blipFill>
                <pic:spPr bwMode="auto">
                  <a:xfrm>
                    <a:off x="0" y="0"/>
                    <a:ext cx="3290570" cy="360045"/>
                  </a:xfrm>
                  <a:prstGeom prst="rect">
                    <a:avLst/>
                  </a:prstGeom>
                  <a:noFill/>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21672B73"/>
    <w:multiLevelType w:val="multilevel"/>
    <w:tmpl w:val="436E556E"/>
    <w:lvl w:ilvl="0">
      <w:start w:val="1"/>
      <w:numFmt w:val="decimal"/>
      <w:pStyle w:val="Themen"/>
      <w:lvlText w:val="%1."/>
      <w:lvlJc w:val="left"/>
      <w:pPr>
        <w:tabs>
          <w:tab w:val="num" w:pos="720"/>
        </w:tabs>
        <w:ind w:left="720" w:hanging="720"/>
      </w:pPr>
    </w:lvl>
    <w:lvl w:ilvl="1">
      <w:start w:val="1"/>
      <w:numFmt w:val="decimal"/>
      <w:pStyle w:val="Bulletpoint2"/>
      <w:lvlText w:val="%2."/>
      <w:lvlJc w:val="left"/>
      <w:pPr>
        <w:tabs>
          <w:tab w:val="num" w:pos="1440"/>
        </w:tabs>
        <w:ind w:left="1440" w:hanging="720"/>
      </w:pPr>
    </w:lvl>
    <w:lvl w:ilvl="2">
      <w:start w:val="1"/>
      <w:numFmt w:val="decimal"/>
      <w:pStyle w:val="Bulletpoint3"/>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num w:numId="1">
    <w:abstractNumId w:val="0"/>
  </w:num>
  <w:num w:numId="2">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attachedTemplate r:id="rId1"/>
  <w:defaultTabStop w:val="708"/>
  <w:hyphenationZone w:val="425"/>
  <w:characterSpacingControl w:val="doNotCompress"/>
  <w:hdrShapeDefaults>
    <o:shapedefaults v:ext="edit" spidmax="18433"/>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D2EE5"/>
    <w:rsid w:val="000037E3"/>
    <w:rsid w:val="00010F2C"/>
    <w:rsid w:val="000148B3"/>
    <w:rsid w:val="00022125"/>
    <w:rsid w:val="00025FE3"/>
    <w:rsid w:val="00042106"/>
    <w:rsid w:val="00045385"/>
    <w:rsid w:val="0005285B"/>
    <w:rsid w:val="00055529"/>
    <w:rsid w:val="0006034A"/>
    <w:rsid w:val="00066D09"/>
    <w:rsid w:val="00087FED"/>
    <w:rsid w:val="0009665C"/>
    <w:rsid w:val="000976F7"/>
    <w:rsid w:val="000A36D9"/>
    <w:rsid w:val="000C7EF3"/>
    <w:rsid w:val="000D15C3"/>
    <w:rsid w:val="000D7655"/>
    <w:rsid w:val="000E24F8"/>
    <w:rsid w:val="000E4EF3"/>
    <w:rsid w:val="000F3C22"/>
    <w:rsid w:val="00103205"/>
    <w:rsid w:val="0010436E"/>
    <w:rsid w:val="00111C2C"/>
    <w:rsid w:val="0011241A"/>
    <w:rsid w:val="00115C38"/>
    <w:rsid w:val="0012026F"/>
    <w:rsid w:val="001218DF"/>
    <w:rsid w:val="00124922"/>
    <w:rsid w:val="001315E0"/>
    <w:rsid w:val="00132055"/>
    <w:rsid w:val="00135B2C"/>
    <w:rsid w:val="001423F9"/>
    <w:rsid w:val="00152008"/>
    <w:rsid w:val="00154E7A"/>
    <w:rsid w:val="001870BE"/>
    <w:rsid w:val="001B16BB"/>
    <w:rsid w:val="001D03EC"/>
    <w:rsid w:val="001D654E"/>
    <w:rsid w:val="001E3C89"/>
    <w:rsid w:val="001E4131"/>
    <w:rsid w:val="00222C18"/>
    <w:rsid w:val="00235AED"/>
    <w:rsid w:val="00253A2E"/>
    <w:rsid w:val="00254A4E"/>
    <w:rsid w:val="002603EC"/>
    <w:rsid w:val="002676CC"/>
    <w:rsid w:val="00274F45"/>
    <w:rsid w:val="0028167B"/>
    <w:rsid w:val="00290196"/>
    <w:rsid w:val="0029444E"/>
    <w:rsid w:val="0029634D"/>
    <w:rsid w:val="002A4937"/>
    <w:rsid w:val="002C1DB0"/>
    <w:rsid w:val="002C6D2B"/>
    <w:rsid w:val="002C79DB"/>
    <w:rsid w:val="002D0780"/>
    <w:rsid w:val="002D198A"/>
    <w:rsid w:val="002D2EE5"/>
    <w:rsid w:val="002E765F"/>
    <w:rsid w:val="002F108B"/>
    <w:rsid w:val="002F24DF"/>
    <w:rsid w:val="002F5818"/>
    <w:rsid w:val="0030316D"/>
    <w:rsid w:val="003070E3"/>
    <w:rsid w:val="003213A1"/>
    <w:rsid w:val="0032712F"/>
    <w:rsid w:val="0032774C"/>
    <w:rsid w:val="00340753"/>
    <w:rsid w:val="0034191A"/>
    <w:rsid w:val="00343CC7"/>
    <w:rsid w:val="00344770"/>
    <w:rsid w:val="003740B5"/>
    <w:rsid w:val="00384A08"/>
    <w:rsid w:val="003902D1"/>
    <w:rsid w:val="003A6541"/>
    <w:rsid w:val="003A753A"/>
    <w:rsid w:val="003D048D"/>
    <w:rsid w:val="003E1CB6"/>
    <w:rsid w:val="003E3CF6"/>
    <w:rsid w:val="003E759F"/>
    <w:rsid w:val="003E7853"/>
    <w:rsid w:val="00403373"/>
    <w:rsid w:val="00406C81"/>
    <w:rsid w:val="00412545"/>
    <w:rsid w:val="00430BB0"/>
    <w:rsid w:val="0043144C"/>
    <w:rsid w:val="004324F9"/>
    <w:rsid w:val="004455F1"/>
    <w:rsid w:val="00460C40"/>
    <w:rsid w:val="004907EB"/>
    <w:rsid w:val="004A20A1"/>
    <w:rsid w:val="004A242D"/>
    <w:rsid w:val="004A2ABE"/>
    <w:rsid w:val="004A2C0E"/>
    <w:rsid w:val="004A589F"/>
    <w:rsid w:val="004B489F"/>
    <w:rsid w:val="004C3B31"/>
    <w:rsid w:val="004D23D0"/>
    <w:rsid w:val="004D2BE0"/>
    <w:rsid w:val="004E6EF5"/>
    <w:rsid w:val="004F321A"/>
    <w:rsid w:val="00506409"/>
    <w:rsid w:val="00530E32"/>
    <w:rsid w:val="00533132"/>
    <w:rsid w:val="00534F30"/>
    <w:rsid w:val="005649F4"/>
    <w:rsid w:val="005710C8"/>
    <w:rsid w:val="005711A3"/>
    <w:rsid w:val="00571A5C"/>
    <w:rsid w:val="00573B2B"/>
    <w:rsid w:val="005776E9"/>
    <w:rsid w:val="00595E09"/>
    <w:rsid w:val="00596CF5"/>
    <w:rsid w:val="005970CB"/>
    <w:rsid w:val="005A4F04"/>
    <w:rsid w:val="005B5793"/>
    <w:rsid w:val="005C0D34"/>
    <w:rsid w:val="005D6B6F"/>
    <w:rsid w:val="005F0C2E"/>
    <w:rsid w:val="006063D4"/>
    <w:rsid w:val="006330A2"/>
    <w:rsid w:val="00642EB6"/>
    <w:rsid w:val="006477BE"/>
    <w:rsid w:val="0065002E"/>
    <w:rsid w:val="00651E5D"/>
    <w:rsid w:val="006556B2"/>
    <w:rsid w:val="0066539D"/>
    <w:rsid w:val="00682D41"/>
    <w:rsid w:val="0069367E"/>
    <w:rsid w:val="0069451A"/>
    <w:rsid w:val="00696AB7"/>
    <w:rsid w:val="006A5EE7"/>
    <w:rsid w:val="006C065A"/>
    <w:rsid w:val="006F7602"/>
    <w:rsid w:val="00722A17"/>
    <w:rsid w:val="00723F4F"/>
    <w:rsid w:val="00747EE1"/>
    <w:rsid w:val="0075761B"/>
    <w:rsid w:val="00757B83"/>
    <w:rsid w:val="00770F2A"/>
    <w:rsid w:val="0078188A"/>
    <w:rsid w:val="00791A69"/>
    <w:rsid w:val="00794830"/>
    <w:rsid w:val="00796A6B"/>
    <w:rsid w:val="00797CAA"/>
    <w:rsid w:val="007A0F74"/>
    <w:rsid w:val="007C2658"/>
    <w:rsid w:val="007D5F4A"/>
    <w:rsid w:val="007E20D0"/>
    <w:rsid w:val="007E3DAB"/>
    <w:rsid w:val="007E4937"/>
    <w:rsid w:val="007E6250"/>
    <w:rsid w:val="007F1CB5"/>
    <w:rsid w:val="00813C78"/>
    <w:rsid w:val="00820315"/>
    <w:rsid w:val="00824EFD"/>
    <w:rsid w:val="0083397E"/>
    <w:rsid w:val="008427F2"/>
    <w:rsid w:val="0084388B"/>
    <w:rsid w:val="00843B45"/>
    <w:rsid w:val="00843FD8"/>
    <w:rsid w:val="00850C7E"/>
    <w:rsid w:val="008536F9"/>
    <w:rsid w:val="00861AF1"/>
    <w:rsid w:val="00863129"/>
    <w:rsid w:val="008755E5"/>
    <w:rsid w:val="00895697"/>
    <w:rsid w:val="008A287D"/>
    <w:rsid w:val="008C2DB2"/>
    <w:rsid w:val="008D770E"/>
    <w:rsid w:val="008E46E0"/>
    <w:rsid w:val="008F6D63"/>
    <w:rsid w:val="0090337E"/>
    <w:rsid w:val="009263B7"/>
    <w:rsid w:val="009328FA"/>
    <w:rsid w:val="00936A78"/>
    <w:rsid w:val="00952853"/>
    <w:rsid w:val="009646E4"/>
    <w:rsid w:val="00986DCF"/>
    <w:rsid w:val="009877BB"/>
    <w:rsid w:val="009A3340"/>
    <w:rsid w:val="009B2BA5"/>
    <w:rsid w:val="009B3D51"/>
    <w:rsid w:val="009B7C05"/>
    <w:rsid w:val="009C2378"/>
    <w:rsid w:val="009D016F"/>
    <w:rsid w:val="009E0361"/>
    <w:rsid w:val="009E0A29"/>
    <w:rsid w:val="009E251D"/>
    <w:rsid w:val="009E6193"/>
    <w:rsid w:val="009F27C4"/>
    <w:rsid w:val="009F4517"/>
    <w:rsid w:val="00A00755"/>
    <w:rsid w:val="00A11EB6"/>
    <w:rsid w:val="00A171F4"/>
    <w:rsid w:val="00A24EFC"/>
    <w:rsid w:val="00A34FD3"/>
    <w:rsid w:val="00A55453"/>
    <w:rsid w:val="00A7131D"/>
    <w:rsid w:val="00A8454D"/>
    <w:rsid w:val="00A85E15"/>
    <w:rsid w:val="00A977CE"/>
    <w:rsid w:val="00AA0FF5"/>
    <w:rsid w:val="00AA4D92"/>
    <w:rsid w:val="00AA5590"/>
    <w:rsid w:val="00AB110B"/>
    <w:rsid w:val="00AC0C54"/>
    <w:rsid w:val="00AD131F"/>
    <w:rsid w:val="00AE0A6C"/>
    <w:rsid w:val="00AF3B3A"/>
    <w:rsid w:val="00AF4E8E"/>
    <w:rsid w:val="00AF5763"/>
    <w:rsid w:val="00AF5DF0"/>
    <w:rsid w:val="00AF6569"/>
    <w:rsid w:val="00AF77FA"/>
    <w:rsid w:val="00B025D9"/>
    <w:rsid w:val="00B026AA"/>
    <w:rsid w:val="00B06265"/>
    <w:rsid w:val="00B228DC"/>
    <w:rsid w:val="00B2339E"/>
    <w:rsid w:val="00B47C7D"/>
    <w:rsid w:val="00B5232A"/>
    <w:rsid w:val="00B76B06"/>
    <w:rsid w:val="00B8083D"/>
    <w:rsid w:val="00B87FB4"/>
    <w:rsid w:val="00B90F78"/>
    <w:rsid w:val="00BA02B6"/>
    <w:rsid w:val="00BA7EE9"/>
    <w:rsid w:val="00BC715E"/>
    <w:rsid w:val="00BD1058"/>
    <w:rsid w:val="00BD2EC0"/>
    <w:rsid w:val="00BD5391"/>
    <w:rsid w:val="00BE5437"/>
    <w:rsid w:val="00BE6155"/>
    <w:rsid w:val="00BE7A5F"/>
    <w:rsid w:val="00BF56B2"/>
    <w:rsid w:val="00C06A05"/>
    <w:rsid w:val="00C07942"/>
    <w:rsid w:val="00C136DF"/>
    <w:rsid w:val="00C22A97"/>
    <w:rsid w:val="00C26518"/>
    <w:rsid w:val="00C457C3"/>
    <w:rsid w:val="00C644CA"/>
    <w:rsid w:val="00C65ADD"/>
    <w:rsid w:val="00C710F8"/>
    <w:rsid w:val="00C73005"/>
    <w:rsid w:val="00C85065"/>
    <w:rsid w:val="00C85E18"/>
    <w:rsid w:val="00CA4A09"/>
    <w:rsid w:val="00CC3992"/>
    <w:rsid w:val="00CC3B24"/>
    <w:rsid w:val="00CC4900"/>
    <w:rsid w:val="00CC4FD7"/>
    <w:rsid w:val="00CD0980"/>
    <w:rsid w:val="00CF32AD"/>
    <w:rsid w:val="00CF36C9"/>
    <w:rsid w:val="00D166AC"/>
    <w:rsid w:val="00D36BA2"/>
    <w:rsid w:val="00D37CF4"/>
    <w:rsid w:val="00D509E9"/>
    <w:rsid w:val="00D617CD"/>
    <w:rsid w:val="00D854E4"/>
    <w:rsid w:val="00D97E5D"/>
    <w:rsid w:val="00DA4B03"/>
    <w:rsid w:val="00DA7903"/>
    <w:rsid w:val="00DB4BB0"/>
    <w:rsid w:val="00DC5EA7"/>
    <w:rsid w:val="00E04039"/>
    <w:rsid w:val="00E050C2"/>
    <w:rsid w:val="00E13795"/>
    <w:rsid w:val="00E14608"/>
    <w:rsid w:val="00E154A3"/>
    <w:rsid w:val="00E21E67"/>
    <w:rsid w:val="00E30EBF"/>
    <w:rsid w:val="00E316C0"/>
    <w:rsid w:val="00E4529B"/>
    <w:rsid w:val="00E47055"/>
    <w:rsid w:val="00E52D70"/>
    <w:rsid w:val="00E55534"/>
    <w:rsid w:val="00E646D4"/>
    <w:rsid w:val="00E71E8C"/>
    <w:rsid w:val="00E7367C"/>
    <w:rsid w:val="00E83BD3"/>
    <w:rsid w:val="00E86C00"/>
    <w:rsid w:val="00E914D1"/>
    <w:rsid w:val="00E96CD1"/>
    <w:rsid w:val="00EB16D0"/>
    <w:rsid w:val="00ED41BE"/>
    <w:rsid w:val="00EE7FCA"/>
    <w:rsid w:val="00EF1D82"/>
    <w:rsid w:val="00F123C2"/>
    <w:rsid w:val="00F205A7"/>
    <w:rsid w:val="00F20920"/>
    <w:rsid w:val="00F353EA"/>
    <w:rsid w:val="00F56318"/>
    <w:rsid w:val="00F67A1F"/>
    <w:rsid w:val="00F74CEA"/>
    <w:rsid w:val="00F75B79"/>
    <w:rsid w:val="00F82525"/>
    <w:rsid w:val="00F97FEA"/>
    <w:rsid w:val="00FA45A3"/>
    <w:rsid w:val="00FA68C2"/>
    <w:rsid w:val="00FB60E1"/>
    <w:rsid w:val="00FC0014"/>
    <w:rsid w:val="00FC178B"/>
    <w:rsid w:val="00FD2286"/>
    <w:rsid w:val="00FE28AC"/>
    <w:rsid w:val="00FE48B4"/>
    <w:rsid w:val="00FF3299"/>
    <w:rsid w:val="00FF52AE"/>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8433"/>
    <o:shapelayout v:ext="edit">
      <o:idmap v:ext="edit" data="1"/>
    </o:shapelayout>
  </w:shapeDefaults>
  <w:decimalSymbol w:val=","/>
  <w:listSeparator w:val=";"/>
  <w14:docId w14:val="7D865585"/>
  <w15:docId w15:val="{4DFF972C-F6AB-4619-B08D-20362015F21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Verdana" w:eastAsia="Verdana" w:hAnsi="Verdana" w:cs="Times New Roman"/>
        <w:lang w:val="de-DE"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nhideWhenUsed="1"/>
    <w:lsdException w:name="No Spacing" w:qFormat="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uiPriority="1" w:qFormat="1"/>
    <w:lsdException w:name="Medium Grid 3" w:uiPriority="60"/>
    <w:lsdException w:name="Dark List" w:uiPriority="61"/>
    <w:lsdException w:name="Colorful Shading" w:uiPriority="62"/>
    <w:lsdException w:name="Colorful List" w:uiPriority="63"/>
    <w:lsdException w:name="Colorful Grid" w:uiPriority="64"/>
    <w:lsdException w:name="Light Shading Accent 1" w:uiPriority="65"/>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semiHidden="1" w:uiPriority="71"/>
    <w:lsdException w:name="List Paragraph" w:uiPriority="72" w:qFormat="1"/>
    <w:lsdException w:name="Quote" w:uiPriority="73" w:qFormat="1"/>
    <w:lsdException w:name="Intense Quote" w:uiPriority="60" w:qFormat="1"/>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lsdException w:name="Colorful List Accent 1" w:uiPriority="34" w:qFormat="1"/>
    <w:lsdException w:name="Colorful Grid Accent 1" w:uiPriority="29" w:qFormat="1"/>
    <w:lsdException w:name="Light Shading Accent 2" w:uiPriority="30" w:qFormat="1"/>
    <w:lsdException w:name="Light List Accent 2" w:uiPriority="66"/>
    <w:lsdException w:name="Light Grid Accent 2" w:uiPriority="67"/>
    <w:lsdException w:name="Medium Shading 1 Accent 2" w:uiPriority="68"/>
    <w:lsdException w:name="Medium Shading 2 Accent 2" w:uiPriority="69"/>
    <w:lsdException w:name="Medium List 1 Accent 2" w:uiPriority="70"/>
    <w:lsdException w:name="Medium List 2 Accent 2" w:uiPriority="71"/>
    <w:lsdException w:name="Medium Grid 1 Accent 2" w:uiPriority="72"/>
    <w:lsdException w:name="Medium Grid 2 Accent 2" w:uiPriority="73"/>
    <w:lsdException w:name="Medium Grid 3 Accent 2" w:uiPriority="60"/>
    <w:lsdException w:name="Dark List Accent 2" w:uiPriority="61"/>
    <w:lsdException w:name="Colorful Shading Accent 2" w:uiPriority="62"/>
    <w:lsdException w:name="Colorful List Accent 2" w:uiPriority="63"/>
    <w:lsdException w:name="Colorful Grid Accent 2" w:uiPriority="64"/>
    <w:lsdException w:name="Light Shading Accent 3" w:uiPriority="65"/>
    <w:lsdException w:name="Light List Accent 3" w:uiPriority="66"/>
    <w:lsdException w:name="Light Grid Accent 3" w:uiPriority="67"/>
    <w:lsdException w:name="Medium Shading 1 Accent 3" w:uiPriority="68"/>
    <w:lsdException w:name="Medium Shading 2 Accent 3" w:uiPriority="69"/>
    <w:lsdException w:name="Medium List 1 Accent 3" w:uiPriority="70"/>
    <w:lsdException w:name="Medium List 2 Accent 3" w:uiPriority="71"/>
    <w:lsdException w:name="Medium Grid 1 Accent 3" w:uiPriority="72"/>
    <w:lsdException w:name="Medium Grid 2 Accent 3" w:uiPriority="73"/>
    <w:lsdException w:name="Medium Grid 3 Accent 3" w:uiPriority="60"/>
    <w:lsdException w:name="Dark List Accent 3" w:uiPriority="61"/>
    <w:lsdException w:name="Colorful Shading Accent 3" w:uiPriority="62"/>
    <w:lsdException w:name="Colorful List Accent 3" w:uiPriority="63"/>
    <w:lsdException w:name="Colorful Grid Accent 3" w:uiPriority="64"/>
    <w:lsdException w:name="Light Shading Accent 4" w:uiPriority="65"/>
    <w:lsdException w:name="Light List Accent 4" w:uiPriority="66"/>
    <w:lsdException w:name="Light Grid Accent 4" w:uiPriority="67"/>
    <w:lsdException w:name="Medium Shading 1 Accent 4" w:uiPriority="68"/>
    <w:lsdException w:name="Medium Shading 2 Accent 4" w:uiPriority="69"/>
    <w:lsdException w:name="Medium List 1 Accent 4" w:uiPriority="70"/>
    <w:lsdException w:name="Medium List 2 Accent 4" w:uiPriority="71"/>
    <w:lsdException w:name="Medium Grid 1 Accent 4" w:uiPriority="72"/>
    <w:lsdException w:name="Medium Grid 2 Accent 4" w:uiPriority="73"/>
    <w:lsdException w:name="Medium Grid 3 Accent 4" w:uiPriority="60"/>
    <w:lsdException w:name="Dark List Accent 4" w:uiPriority="61"/>
    <w:lsdException w:name="Colorful Shading Accent 4" w:uiPriority="62"/>
    <w:lsdException w:name="Colorful List Accent 4" w:uiPriority="63"/>
    <w:lsdException w:name="Colorful Grid Accent 4" w:uiPriority="64"/>
    <w:lsdException w:name="Light Shading Accent 5" w:uiPriority="65"/>
    <w:lsdException w:name="Light List Accent 5" w:uiPriority="66"/>
    <w:lsdException w:name="Light Grid Accent 5" w:uiPriority="67"/>
    <w:lsdException w:name="Medium Shading 1 Accent 5" w:uiPriority="68"/>
    <w:lsdException w:name="Medium Shading 2 Accent 5" w:uiPriority="69"/>
    <w:lsdException w:name="Medium List 1 Accent 5" w:uiPriority="70"/>
    <w:lsdException w:name="Medium List 2 Accent 5" w:uiPriority="71"/>
    <w:lsdException w:name="Medium Grid 1 Accent 5" w:uiPriority="72"/>
    <w:lsdException w:name="Medium Grid 2 Accent 5" w:uiPriority="73"/>
    <w:lsdException w:name="Medium Grid 3 Accent 5" w:uiPriority="60"/>
    <w:lsdException w:name="Dark List Accent 5" w:uiPriority="61"/>
    <w:lsdException w:name="Colorful Shading Accent 5" w:uiPriority="62"/>
    <w:lsdException w:name="Colorful List Accent 5" w:uiPriority="63"/>
    <w:lsdException w:name="Colorful Grid Accent 5" w:uiPriority="64"/>
    <w:lsdException w:name="Light Shading Accent 6" w:uiPriority="65"/>
    <w:lsdException w:name="Light List Accent 6" w:uiPriority="66"/>
    <w:lsdException w:name="Light Grid Accent 6" w:uiPriority="67"/>
    <w:lsdException w:name="Medium Shading 1 Accent 6" w:uiPriority="68"/>
    <w:lsdException w:name="Medium Shading 2 Accent 6" w:uiPriority="69"/>
    <w:lsdException w:name="Medium List 1 Accent 6" w:uiPriority="70"/>
    <w:lsdException w:name="Medium List 2 Accent 6" w:uiPriority="71"/>
    <w:lsdException w:name="Medium Grid 1 Accent 6" w:uiPriority="72"/>
    <w:lsdException w:name="Medium Grid 2 Accent 6" w:uiPriority="73"/>
    <w:lsdException w:name="Medium Grid 3 Accent 6" w:uiPriority="60"/>
    <w:lsdException w:name="Dark List Accent 6" w:uiPriority="61"/>
    <w:lsdException w:name="Colorful Shading Accent 6" w:uiPriority="62"/>
    <w:lsdException w:name="Colorful List Accent 6" w:uiPriority="63"/>
    <w:lsdException w:name="Colorful Grid Accent 6" w:uiPriority="64"/>
    <w:lsdException w:name="Subtle Emphasis" w:uiPriority="65" w:qFormat="1"/>
    <w:lsdException w:name="Intense Emphasis" w:uiPriority="66" w:qFormat="1"/>
    <w:lsdException w:name="Subtle Reference" w:uiPriority="67" w:qFormat="1"/>
    <w:lsdException w:name="Intense Reference" w:uiPriority="68" w:qFormat="1"/>
    <w:lsdException w:name="Book Title" w:uiPriority="69" w:qFormat="1"/>
    <w:lsdException w:name="Bibliography" w:semiHidden="1" w:uiPriority="70" w:unhideWhenUsed="1"/>
    <w:lsdException w:name="TOC Heading" w:semiHidden="1" w:uiPriority="7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5D6B6F"/>
    <w:rPr>
      <w:sz w:val="16"/>
      <w:szCs w:val="16"/>
      <w:lang w:eastAsia="en-US"/>
    </w:rPr>
  </w:style>
  <w:style w:type="paragraph" w:styleId="berschrift1">
    <w:name w:val="heading 1"/>
    <w:basedOn w:val="Standard"/>
    <w:next w:val="Text"/>
    <w:link w:val="berschrift1Zchn"/>
    <w:uiPriority w:val="9"/>
    <w:qFormat/>
    <w:rsid w:val="00A171F4"/>
    <w:pPr>
      <w:keepNext/>
      <w:keepLines/>
      <w:spacing w:before="120" w:after="120" w:line="440" w:lineRule="exact"/>
      <w:jc w:val="both"/>
      <w:outlineLvl w:val="0"/>
    </w:pPr>
    <w:rPr>
      <w:rFonts w:eastAsia="MS Mincho"/>
      <w:b/>
      <w:sz w:val="40"/>
      <w:szCs w:val="32"/>
    </w:rPr>
  </w:style>
  <w:style w:type="paragraph" w:styleId="berschrift2">
    <w:name w:val="heading 2"/>
    <w:basedOn w:val="Standard"/>
    <w:next w:val="Text"/>
    <w:link w:val="berschrift2Zchn"/>
    <w:uiPriority w:val="9"/>
    <w:qFormat/>
    <w:rsid w:val="002E765F"/>
    <w:pPr>
      <w:keepNext/>
      <w:keepLines/>
      <w:spacing w:before="120" w:after="120" w:line="260" w:lineRule="exact"/>
      <w:jc w:val="both"/>
      <w:outlineLvl w:val="1"/>
    </w:pPr>
    <w:rPr>
      <w:rFonts w:eastAsia="MS Mincho"/>
      <w:b/>
      <w:sz w:val="22"/>
      <w:szCs w:val="26"/>
    </w:rPr>
  </w:style>
  <w:style w:type="paragraph" w:styleId="berschrift3">
    <w:name w:val="heading 3"/>
    <w:basedOn w:val="Standard"/>
    <w:next w:val="Text"/>
    <w:link w:val="berschrift3Zchn"/>
    <w:uiPriority w:val="9"/>
    <w:qFormat/>
    <w:rsid w:val="002E765F"/>
    <w:pPr>
      <w:keepNext/>
      <w:keepLines/>
      <w:spacing w:before="120" w:after="120" w:line="240" w:lineRule="exact"/>
      <w:jc w:val="both"/>
      <w:outlineLvl w:val="2"/>
    </w:pPr>
    <w:rPr>
      <w:rFonts w:eastAsia="MS Mincho"/>
      <w:b/>
      <w:sz w:val="20"/>
      <w:szCs w:val="24"/>
    </w:rPr>
  </w:style>
  <w:style w:type="paragraph" w:styleId="berschrift4">
    <w:name w:val="heading 4"/>
    <w:basedOn w:val="Standard"/>
    <w:next w:val="Text"/>
    <w:link w:val="berschrift4Zchn"/>
    <w:uiPriority w:val="9"/>
    <w:qFormat/>
    <w:rsid w:val="002E765F"/>
    <w:pPr>
      <w:keepNext/>
      <w:keepLines/>
      <w:spacing w:before="120" w:after="120" w:line="220" w:lineRule="exact"/>
      <w:jc w:val="both"/>
      <w:outlineLvl w:val="3"/>
    </w:pPr>
    <w:rPr>
      <w:rFonts w:eastAsia="MS Mincho"/>
      <w:iCs/>
      <w:sz w:val="18"/>
      <w:szCs w:val="20"/>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table" w:customStyle="1" w:styleId="Basic">
    <w:name w:val="Basic"/>
    <w:basedOn w:val="NormaleTabelle"/>
    <w:uiPriority w:val="99"/>
    <w:rsid w:val="008C2DB2"/>
    <w:tblPr>
      <w:tblCellMar>
        <w:left w:w="0" w:type="dxa"/>
        <w:right w:w="0" w:type="dxa"/>
      </w:tblCellMar>
    </w:tblPr>
    <w:tblStylePr w:type="firstRow">
      <w:pPr>
        <w:wordWrap/>
        <w:spacing w:beforeLines="0" w:before="0" w:beforeAutospacing="0" w:afterLines="0" w:after="0" w:afterAutospacing="0"/>
      </w:pPr>
    </w:tblStylePr>
  </w:style>
  <w:style w:type="character" w:customStyle="1" w:styleId="berschrift1Zchn">
    <w:name w:val="Überschrift 1 Zchn"/>
    <w:link w:val="berschrift1"/>
    <w:uiPriority w:val="9"/>
    <w:rsid w:val="00A171F4"/>
    <w:rPr>
      <w:rFonts w:eastAsia="MS Mincho" w:cs="Times New Roman"/>
      <w:b/>
      <w:sz w:val="40"/>
      <w:szCs w:val="32"/>
    </w:rPr>
  </w:style>
  <w:style w:type="character" w:customStyle="1" w:styleId="berschrift2Zchn">
    <w:name w:val="Überschrift 2 Zchn"/>
    <w:link w:val="berschrift2"/>
    <w:uiPriority w:val="9"/>
    <w:rsid w:val="002E765F"/>
    <w:rPr>
      <w:rFonts w:ascii="Verdana" w:eastAsia="MS Mincho" w:hAnsi="Verdana" w:cs="Times New Roman"/>
      <w:b/>
      <w:sz w:val="22"/>
      <w:szCs w:val="26"/>
    </w:rPr>
  </w:style>
  <w:style w:type="character" w:customStyle="1" w:styleId="berschrift3Zchn">
    <w:name w:val="Überschrift 3 Zchn"/>
    <w:link w:val="berschrift3"/>
    <w:uiPriority w:val="9"/>
    <w:rsid w:val="002E765F"/>
    <w:rPr>
      <w:rFonts w:ascii="Verdana" w:eastAsia="MS Mincho" w:hAnsi="Verdana" w:cs="Times New Roman"/>
      <w:b/>
      <w:sz w:val="20"/>
      <w:szCs w:val="24"/>
    </w:rPr>
  </w:style>
  <w:style w:type="character" w:customStyle="1" w:styleId="berschrift4Zchn">
    <w:name w:val="Überschrift 4 Zchn"/>
    <w:link w:val="berschrift4"/>
    <w:uiPriority w:val="9"/>
    <w:rsid w:val="002E765F"/>
    <w:rPr>
      <w:rFonts w:ascii="Verdana" w:eastAsia="MS Mincho" w:hAnsi="Verdana" w:cs="Times New Roman"/>
      <w:iCs/>
      <w:sz w:val="18"/>
      <w:szCs w:val="20"/>
    </w:rPr>
  </w:style>
  <w:style w:type="paragraph" w:styleId="Kopfzeile">
    <w:name w:val="header"/>
    <w:basedOn w:val="Standard"/>
    <w:link w:val="KopfzeileZchn"/>
    <w:uiPriority w:val="99"/>
    <w:unhideWhenUsed/>
    <w:rsid w:val="00E55534"/>
    <w:pPr>
      <w:tabs>
        <w:tab w:val="center" w:pos="4513"/>
        <w:tab w:val="right" w:pos="9026"/>
      </w:tabs>
    </w:pPr>
  </w:style>
  <w:style w:type="character" w:customStyle="1" w:styleId="KopfzeileZchn">
    <w:name w:val="Kopfzeile Zchn"/>
    <w:basedOn w:val="Absatz-Standardschriftart"/>
    <w:link w:val="Kopfzeile"/>
    <w:uiPriority w:val="99"/>
    <w:rsid w:val="00E55534"/>
  </w:style>
  <w:style w:type="paragraph" w:styleId="Fuzeile">
    <w:name w:val="footer"/>
    <w:basedOn w:val="Standard"/>
    <w:link w:val="FuzeileZchn"/>
    <w:uiPriority w:val="99"/>
    <w:unhideWhenUsed/>
    <w:rsid w:val="00642EB6"/>
    <w:rPr>
      <w:color w:val="41535D"/>
      <w:sz w:val="18"/>
    </w:rPr>
  </w:style>
  <w:style w:type="character" w:customStyle="1" w:styleId="FuzeileZchn">
    <w:name w:val="Fußzeile Zchn"/>
    <w:link w:val="Fuzeile"/>
    <w:uiPriority w:val="99"/>
    <w:rsid w:val="00642EB6"/>
    <w:rPr>
      <w:color w:val="41535D"/>
      <w:sz w:val="18"/>
    </w:rPr>
  </w:style>
  <w:style w:type="paragraph" w:styleId="Sprechblasentext">
    <w:name w:val="Balloon Text"/>
    <w:basedOn w:val="Standard"/>
    <w:link w:val="SprechblasentextZchn"/>
    <w:uiPriority w:val="99"/>
    <w:semiHidden/>
    <w:unhideWhenUsed/>
    <w:rsid w:val="00E55534"/>
    <w:rPr>
      <w:rFonts w:ascii="Tahoma" w:hAnsi="Tahoma" w:cs="Tahoma"/>
    </w:rPr>
  </w:style>
  <w:style w:type="character" w:customStyle="1" w:styleId="SprechblasentextZchn">
    <w:name w:val="Sprechblasentext Zchn"/>
    <w:link w:val="Sprechblasentext"/>
    <w:uiPriority w:val="99"/>
    <w:semiHidden/>
    <w:rsid w:val="00E55534"/>
    <w:rPr>
      <w:rFonts w:ascii="Tahoma" w:hAnsi="Tahoma" w:cs="Tahoma"/>
      <w:sz w:val="16"/>
      <w:szCs w:val="16"/>
    </w:rPr>
  </w:style>
  <w:style w:type="table" w:styleId="Tabellenraster">
    <w:name w:val="Table Grid"/>
    <w:basedOn w:val="NormaleTabelle"/>
    <w:uiPriority w:val="59"/>
    <w:rsid w:val="00E5553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itel">
    <w:name w:val="Title"/>
    <w:basedOn w:val="Standard"/>
    <w:next w:val="Untertitel"/>
    <w:link w:val="TitelZchn"/>
    <w:qFormat/>
    <w:rsid w:val="0030316D"/>
    <w:pPr>
      <w:spacing w:line="600" w:lineRule="exact"/>
      <w:contextualSpacing/>
    </w:pPr>
    <w:rPr>
      <w:rFonts w:eastAsia="MS Mincho"/>
      <w:b/>
      <w:color w:val="5C666F"/>
      <w:sz w:val="40"/>
      <w:szCs w:val="52"/>
    </w:rPr>
  </w:style>
  <w:style w:type="character" w:customStyle="1" w:styleId="TitelZchn">
    <w:name w:val="Titel Zchn"/>
    <w:link w:val="Titel"/>
    <w:rsid w:val="0030316D"/>
    <w:rPr>
      <w:rFonts w:ascii="Verdana" w:eastAsia="MS Mincho" w:hAnsi="Verdana" w:cs="Times New Roman"/>
      <w:b/>
      <w:color w:val="5C666F"/>
      <w:sz w:val="40"/>
      <w:szCs w:val="52"/>
    </w:rPr>
  </w:style>
  <w:style w:type="character" w:styleId="Hervorhebung">
    <w:name w:val="Emphasis"/>
    <w:uiPriority w:val="8"/>
    <w:qFormat/>
    <w:rsid w:val="003E1CB6"/>
    <w:rPr>
      <w:b/>
      <w:i w:val="0"/>
      <w:iCs/>
    </w:rPr>
  </w:style>
  <w:style w:type="paragraph" w:styleId="Untertitel">
    <w:name w:val="Subtitle"/>
    <w:basedOn w:val="Standard"/>
    <w:link w:val="UntertitelZchn"/>
    <w:qFormat/>
    <w:rsid w:val="00843B45"/>
    <w:pPr>
      <w:numPr>
        <w:ilvl w:val="1"/>
      </w:numPr>
      <w:spacing w:line="520" w:lineRule="atLeast"/>
    </w:pPr>
    <w:rPr>
      <w:rFonts w:eastAsia="MS Mincho"/>
      <w:iCs/>
      <w:color w:val="5C666F"/>
      <w:sz w:val="32"/>
      <w:szCs w:val="24"/>
    </w:rPr>
  </w:style>
  <w:style w:type="character" w:customStyle="1" w:styleId="UntertitelZchn">
    <w:name w:val="Untertitel Zchn"/>
    <w:link w:val="Untertitel"/>
    <w:rsid w:val="00843B45"/>
    <w:rPr>
      <w:rFonts w:ascii="Verdana" w:eastAsia="MS Mincho" w:hAnsi="Verdana" w:cs="Times New Roman"/>
      <w:iCs/>
      <w:color w:val="5C666F"/>
      <w:sz w:val="32"/>
      <w:szCs w:val="24"/>
    </w:rPr>
  </w:style>
  <w:style w:type="paragraph" w:customStyle="1" w:styleId="Themen">
    <w:name w:val="Themen"/>
    <w:basedOn w:val="Standard"/>
    <w:uiPriority w:val="10"/>
    <w:qFormat/>
    <w:rsid w:val="00403373"/>
    <w:pPr>
      <w:numPr>
        <w:numId w:val="1"/>
      </w:numPr>
      <w:spacing w:after="60" w:line="360" w:lineRule="exact"/>
    </w:pPr>
    <w:rPr>
      <w:b/>
      <w:sz w:val="24"/>
    </w:rPr>
  </w:style>
  <w:style w:type="numbering" w:customStyle="1" w:styleId="zzzThemen">
    <w:name w:val="zzz_Themen"/>
    <w:basedOn w:val="KeineListe"/>
    <w:uiPriority w:val="99"/>
    <w:rsid w:val="00403373"/>
  </w:style>
  <w:style w:type="paragraph" w:customStyle="1" w:styleId="FarbigeListe-Akzent11">
    <w:name w:val="Farbige Liste - Akzent 11"/>
    <w:basedOn w:val="Standard"/>
    <w:uiPriority w:val="34"/>
    <w:semiHidden/>
    <w:qFormat/>
    <w:rsid w:val="003E1CB6"/>
    <w:pPr>
      <w:ind w:left="720"/>
      <w:contextualSpacing/>
    </w:pPr>
  </w:style>
  <w:style w:type="paragraph" w:customStyle="1" w:styleId="Kolumnentitel">
    <w:name w:val="Kolumnentitel"/>
    <w:basedOn w:val="Standard"/>
    <w:uiPriority w:val="19"/>
    <w:qFormat/>
    <w:rsid w:val="00B90F78"/>
    <w:rPr>
      <w:caps/>
      <w:sz w:val="14"/>
    </w:rPr>
  </w:style>
  <w:style w:type="paragraph" w:customStyle="1" w:styleId="Seitenzahlen">
    <w:name w:val="Seitenzahlen"/>
    <w:basedOn w:val="Standard"/>
    <w:uiPriority w:val="19"/>
    <w:qFormat/>
    <w:rsid w:val="00722A17"/>
    <w:pPr>
      <w:jc w:val="right"/>
    </w:pPr>
    <w:rPr>
      <w:caps/>
      <w:sz w:val="14"/>
    </w:rPr>
  </w:style>
  <w:style w:type="character" w:styleId="Seitenzahl">
    <w:name w:val="page number"/>
    <w:semiHidden/>
    <w:unhideWhenUsed/>
    <w:rsid w:val="007E20D0"/>
    <w:rPr>
      <w:rFonts w:ascii="Times New Roman" w:hAnsi="Times New Roman" w:cs="Times New Roman" w:hint="default"/>
    </w:rPr>
  </w:style>
  <w:style w:type="paragraph" w:customStyle="1" w:styleId="Text">
    <w:name w:val="Text"/>
    <w:basedOn w:val="Standard"/>
    <w:uiPriority w:val="4"/>
    <w:qFormat/>
    <w:rsid w:val="00A171F4"/>
    <w:pPr>
      <w:spacing w:line="280" w:lineRule="atLeast"/>
      <w:jc w:val="both"/>
    </w:pPr>
    <w:rPr>
      <w:sz w:val="22"/>
    </w:rPr>
  </w:style>
  <w:style w:type="character" w:customStyle="1" w:styleId="SchwacheHervorhebung1">
    <w:name w:val="Schwache Hervorhebung1"/>
    <w:uiPriority w:val="7"/>
    <w:qFormat/>
    <w:rsid w:val="006F7602"/>
    <w:rPr>
      <w:i/>
      <w:iCs/>
      <w:color w:val="auto"/>
    </w:rPr>
  </w:style>
  <w:style w:type="numbering" w:customStyle="1" w:styleId="zzzHeadlines">
    <w:name w:val="zzz_Headlines"/>
    <w:basedOn w:val="KeineListe"/>
    <w:uiPriority w:val="99"/>
    <w:rsid w:val="00384A08"/>
  </w:style>
  <w:style w:type="paragraph" w:customStyle="1" w:styleId="Bulletpoint1">
    <w:name w:val="Bulletpoint 1"/>
    <w:basedOn w:val="Standard"/>
    <w:uiPriority w:val="5"/>
    <w:qFormat/>
    <w:rsid w:val="003E7853"/>
    <w:pPr>
      <w:tabs>
        <w:tab w:val="num" w:pos="720"/>
      </w:tabs>
      <w:spacing w:after="120" w:line="280" w:lineRule="atLeast"/>
      <w:ind w:left="720" w:hanging="720"/>
      <w:contextualSpacing/>
    </w:pPr>
    <w:rPr>
      <w:sz w:val="22"/>
    </w:rPr>
  </w:style>
  <w:style w:type="paragraph" w:customStyle="1" w:styleId="Bulletpoint2">
    <w:name w:val="Bulletpoint 2"/>
    <w:basedOn w:val="Standard"/>
    <w:uiPriority w:val="5"/>
    <w:qFormat/>
    <w:rsid w:val="003E7853"/>
    <w:pPr>
      <w:numPr>
        <w:ilvl w:val="1"/>
        <w:numId w:val="3"/>
      </w:numPr>
      <w:spacing w:after="120" w:line="280" w:lineRule="atLeast"/>
      <w:ind w:left="568" w:hanging="284"/>
      <w:contextualSpacing/>
    </w:pPr>
    <w:rPr>
      <w:sz w:val="22"/>
    </w:rPr>
  </w:style>
  <w:style w:type="paragraph" w:customStyle="1" w:styleId="Bulletpoint3">
    <w:name w:val="Bulletpoint 3"/>
    <w:basedOn w:val="Standard"/>
    <w:uiPriority w:val="5"/>
    <w:qFormat/>
    <w:rsid w:val="003E7853"/>
    <w:pPr>
      <w:numPr>
        <w:ilvl w:val="2"/>
        <w:numId w:val="3"/>
      </w:numPr>
      <w:spacing w:after="120" w:line="280" w:lineRule="atLeast"/>
      <w:contextualSpacing/>
    </w:pPr>
    <w:rPr>
      <w:sz w:val="22"/>
    </w:rPr>
  </w:style>
  <w:style w:type="numbering" w:customStyle="1" w:styleId="zzzBulletpoints">
    <w:name w:val="zzz_Bulletpoints"/>
    <w:basedOn w:val="KeineListe"/>
    <w:uiPriority w:val="99"/>
    <w:rsid w:val="005A4F04"/>
  </w:style>
  <w:style w:type="paragraph" w:customStyle="1" w:styleId="Nummerrierung">
    <w:name w:val="Nummerrierung"/>
    <w:basedOn w:val="Standard"/>
    <w:uiPriority w:val="5"/>
    <w:qFormat/>
    <w:rsid w:val="008D770E"/>
    <w:pPr>
      <w:tabs>
        <w:tab w:val="num" w:pos="720"/>
      </w:tabs>
      <w:spacing w:after="120"/>
      <w:ind w:left="720" w:hanging="720"/>
    </w:pPr>
    <w:rPr>
      <w:sz w:val="18"/>
    </w:rPr>
  </w:style>
  <w:style w:type="numbering" w:customStyle="1" w:styleId="zzzNummerierung">
    <w:name w:val="zzz_Nummerierung"/>
    <w:basedOn w:val="KeineListe"/>
    <w:uiPriority w:val="99"/>
    <w:rsid w:val="00506409"/>
  </w:style>
  <w:style w:type="paragraph" w:customStyle="1" w:styleId="NummerrierungFett">
    <w:name w:val="Nummerrierung Fett"/>
    <w:basedOn w:val="Nummerrierung"/>
    <w:uiPriority w:val="5"/>
    <w:qFormat/>
    <w:rsid w:val="00506409"/>
    <w:rPr>
      <w:b/>
    </w:rPr>
  </w:style>
  <w:style w:type="table" w:customStyle="1" w:styleId="Wirtgen">
    <w:name w:val="Wirtgen"/>
    <w:basedOn w:val="NormaleTabelle"/>
    <w:uiPriority w:val="99"/>
    <w:rsid w:val="008D770E"/>
    <w:pPr>
      <w:spacing w:before="60" w:after="60" w:line="220" w:lineRule="atLeast"/>
    </w:pPr>
    <w:rPr>
      <w:sz w:val="18"/>
    </w:rPr>
    <w:tblPr>
      <w:tblInd w:w="85" w:type="dxa"/>
      <w:tblBorders>
        <w:left w:val="single" w:sz="2" w:space="0" w:color="41535D"/>
        <w:bottom w:val="single" w:sz="2" w:space="0" w:color="41535D"/>
        <w:right w:val="single" w:sz="2" w:space="0" w:color="41535D"/>
        <w:insideH w:val="single" w:sz="2" w:space="0" w:color="41535D"/>
        <w:insideV w:val="single" w:sz="2" w:space="0" w:color="41535D"/>
      </w:tblBorders>
      <w:tblCellMar>
        <w:left w:w="85" w:type="dxa"/>
        <w:right w:w="85" w:type="dxa"/>
      </w:tblCellMar>
    </w:tblPr>
    <w:tblStylePr w:type="firstRow">
      <w:pPr>
        <w:wordWrap/>
        <w:spacing w:beforeLines="40" w:before="40" w:beforeAutospacing="0" w:afterLines="40" w:after="40" w:afterAutospacing="0"/>
      </w:pPr>
      <w:rPr>
        <w:b/>
        <w:color w:val="FFFFFF"/>
      </w:rPr>
      <w:tblPr/>
      <w:tcPr>
        <w:tcBorders>
          <w:top w:val="single" w:sz="2" w:space="0" w:color="FFFFFF"/>
          <w:left w:val="single" w:sz="2" w:space="0" w:color="41535D"/>
          <w:bottom w:val="single" w:sz="2" w:space="0" w:color="FFFFFF"/>
          <w:right w:val="single" w:sz="2" w:space="0" w:color="41535D"/>
          <w:insideH w:val="single" w:sz="2" w:space="0" w:color="FFFFFF"/>
          <w:insideV w:val="single" w:sz="2" w:space="0" w:color="FFFFFF"/>
          <w:tl2br w:val="nil"/>
          <w:tr2bl w:val="nil"/>
        </w:tcBorders>
        <w:shd w:val="clear" w:color="auto" w:fill="41535D"/>
      </w:tcPr>
    </w:tblStylePr>
    <w:tblStylePr w:type="lastRow">
      <w:rPr>
        <w:b/>
      </w:rPr>
      <w:tblPr/>
      <w:tcPr>
        <w:tcBorders>
          <w:top w:val="single" w:sz="4" w:space="0" w:color="41535D"/>
          <w:bottom w:val="single" w:sz="4" w:space="0" w:color="41535D"/>
        </w:tcBorders>
      </w:tcPr>
    </w:tblStylePr>
  </w:style>
  <w:style w:type="paragraph" w:customStyle="1" w:styleId="TextBlocksatz">
    <w:name w:val="Text Blocksatz"/>
    <w:basedOn w:val="Text"/>
    <w:uiPriority w:val="4"/>
    <w:qFormat/>
    <w:rsid w:val="00A171F4"/>
  </w:style>
  <w:style w:type="paragraph" w:styleId="Beschriftung">
    <w:name w:val="caption"/>
    <w:basedOn w:val="Standard"/>
    <w:next w:val="Standard"/>
    <w:uiPriority w:val="7"/>
    <w:qFormat/>
    <w:rsid w:val="001B16BB"/>
    <w:pPr>
      <w:spacing w:before="120" w:after="120"/>
    </w:pPr>
    <w:rPr>
      <w:bCs/>
      <w:color w:val="41535D"/>
      <w:szCs w:val="18"/>
    </w:rPr>
  </w:style>
  <w:style w:type="paragraph" w:customStyle="1" w:styleId="Inhaltsverzeichnisberschrift1">
    <w:name w:val="Inhaltsverzeichnisüberschrift1"/>
    <w:basedOn w:val="berschrift1"/>
    <w:next w:val="Standard"/>
    <w:uiPriority w:val="39"/>
    <w:qFormat/>
    <w:rsid w:val="00BD1058"/>
    <w:pPr>
      <w:spacing w:line="240" w:lineRule="auto"/>
      <w:outlineLvl w:val="9"/>
    </w:pPr>
    <w:rPr>
      <w:bCs/>
      <w:szCs w:val="28"/>
      <w:lang w:eastAsia="de-DE"/>
    </w:rPr>
  </w:style>
  <w:style w:type="paragraph" w:styleId="Verzeichnis1">
    <w:name w:val="toc 1"/>
    <w:basedOn w:val="Standard"/>
    <w:next w:val="Standard"/>
    <w:autoRedefine/>
    <w:uiPriority w:val="39"/>
    <w:unhideWhenUsed/>
    <w:rsid w:val="00C457C3"/>
    <w:pPr>
      <w:tabs>
        <w:tab w:val="left" w:pos="454"/>
        <w:tab w:val="right" w:leader="dot" w:pos="9514"/>
      </w:tabs>
      <w:spacing w:after="220"/>
      <w:ind w:left="454" w:right="284" w:hanging="454"/>
    </w:pPr>
    <w:rPr>
      <w:b/>
      <w:sz w:val="22"/>
    </w:rPr>
  </w:style>
  <w:style w:type="paragraph" w:styleId="Verzeichnis2">
    <w:name w:val="toc 2"/>
    <w:basedOn w:val="Standard"/>
    <w:next w:val="Standard"/>
    <w:autoRedefine/>
    <w:uiPriority w:val="39"/>
    <w:unhideWhenUsed/>
    <w:rsid w:val="00C457C3"/>
    <w:pPr>
      <w:tabs>
        <w:tab w:val="left" w:pos="660"/>
        <w:tab w:val="right" w:leader="dot" w:pos="9514"/>
      </w:tabs>
      <w:spacing w:after="100"/>
      <w:ind w:left="454" w:right="284" w:hanging="454"/>
    </w:pPr>
    <w:rPr>
      <w:b/>
      <w:sz w:val="19"/>
    </w:rPr>
  </w:style>
  <w:style w:type="paragraph" w:styleId="Verzeichnis3">
    <w:name w:val="toc 3"/>
    <w:basedOn w:val="Standard"/>
    <w:next w:val="Standard"/>
    <w:autoRedefine/>
    <w:uiPriority w:val="39"/>
    <w:unhideWhenUsed/>
    <w:rsid w:val="00C457C3"/>
    <w:pPr>
      <w:tabs>
        <w:tab w:val="left" w:pos="964"/>
        <w:tab w:val="right" w:leader="dot" w:pos="9514"/>
      </w:tabs>
      <w:spacing w:after="100"/>
      <w:ind w:left="964" w:hanging="510"/>
    </w:pPr>
  </w:style>
  <w:style w:type="character" w:styleId="Hyperlink">
    <w:name w:val="Hyperlink"/>
    <w:uiPriority w:val="99"/>
    <w:unhideWhenUsed/>
    <w:rsid w:val="00BD1058"/>
    <w:rPr>
      <w:color w:val="41535D"/>
      <w:u w:val="single"/>
    </w:rPr>
  </w:style>
  <w:style w:type="character" w:customStyle="1" w:styleId="MittleresRaster11">
    <w:name w:val="Mittleres Raster 11"/>
    <w:uiPriority w:val="99"/>
    <w:semiHidden/>
    <w:rsid w:val="00FF52AE"/>
    <w:rPr>
      <w:color w:val="808080"/>
    </w:rPr>
  </w:style>
  <w:style w:type="paragraph" w:customStyle="1" w:styleId="HeadlineFotos">
    <w:name w:val="Headline Fotos"/>
    <w:basedOn w:val="Standard"/>
    <w:next w:val="Text"/>
    <w:uiPriority w:val="10"/>
    <w:qFormat/>
    <w:rsid w:val="009D016F"/>
    <w:pPr>
      <w:pBdr>
        <w:bottom w:val="single" w:sz="4" w:space="1" w:color="auto"/>
      </w:pBdr>
      <w:spacing w:after="260" w:line="276" w:lineRule="auto"/>
      <w:contextualSpacing/>
    </w:pPr>
    <w:rPr>
      <w:b/>
      <w:caps/>
      <w:sz w:val="22"/>
    </w:rPr>
  </w:style>
  <w:style w:type="paragraph" w:customStyle="1" w:styleId="HeadlineKontakte">
    <w:name w:val="Headline Kontakte"/>
    <w:basedOn w:val="HeadlineFotos"/>
    <w:next w:val="Text"/>
    <w:uiPriority w:val="10"/>
    <w:qFormat/>
    <w:rsid w:val="00D166AC"/>
    <w:rPr>
      <w:szCs w:val="20"/>
    </w:rPr>
  </w:style>
  <w:style w:type="table" w:customStyle="1" w:styleId="Basic1">
    <w:name w:val="Basic1"/>
    <w:basedOn w:val="NormaleTabelle"/>
    <w:uiPriority w:val="99"/>
    <w:rsid w:val="00BD5391"/>
    <w:rPr>
      <w:sz w:val="16"/>
      <w:lang w:eastAsia="en-US"/>
    </w:rPr>
    <w:tblPr>
      <w:tblCellMar>
        <w:left w:w="0" w:type="dxa"/>
        <w:right w:w="0" w:type="dxa"/>
      </w:tblCellMar>
    </w:tblPr>
    <w:tblStylePr w:type="firstRow">
      <w:pPr>
        <w:wordWrap/>
        <w:spacing w:beforeLines="0" w:before="0" w:beforeAutospacing="0" w:afterLines="0" w:after="0" w:afterAutospacing="0"/>
      </w:pPr>
    </w:tblStylePr>
  </w:style>
  <w:style w:type="character" w:customStyle="1" w:styleId="NichtaufgelsteErwhnung1">
    <w:name w:val="Nicht aufgelöste Erwähnung1"/>
    <w:uiPriority w:val="99"/>
    <w:semiHidden/>
    <w:unhideWhenUsed/>
    <w:rsid w:val="002D2EE5"/>
    <w:rPr>
      <w:color w:val="605E5C"/>
      <w:shd w:val="clear" w:color="auto" w:fill="E1DFDD"/>
    </w:rPr>
  </w:style>
  <w:style w:type="character" w:styleId="Kommentarzeichen">
    <w:name w:val="annotation reference"/>
    <w:uiPriority w:val="99"/>
    <w:semiHidden/>
    <w:unhideWhenUsed/>
    <w:rsid w:val="00D37CF4"/>
    <w:rPr>
      <w:sz w:val="16"/>
      <w:szCs w:val="16"/>
    </w:rPr>
  </w:style>
  <w:style w:type="paragraph" w:styleId="Kommentartext">
    <w:name w:val="annotation text"/>
    <w:basedOn w:val="Standard"/>
    <w:link w:val="KommentartextZchn"/>
    <w:uiPriority w:val="99"/>
    <w:semiHidden/>
    <w:unhideWhenUsed/>
    <w:rsid w:val="00D37CF4"/>
    <w:rPr>
      <w:sz w:val="20"/>
      <w:szCs w:val="20"/>
    </w:rPr>
  </w:style>
  <w:style w:type="character" w:customStyle="1" w:styleId="KommentartextZchn">
    <w:name w:val="Kommentartext Zchn"/>
    <w:link w:val="Kommentartext"/>
    <w:uiPriority w:val="99"/>
    <w:semiHidden/>
    <w:rsid w:val="00D37CF4"/>
    <w:rPr>
      <w:lang w:eastAsia="en-US"/>
    </w:rPr>
  </w:style>
  <w:style w:type="paragraph" w:styleId="Kommentarthema">
    <w:name w:val="annotation subject"/>
    <w:basedOn w:val="Kommentartext"/>
    <w:next w:val="Kommentartext"/>
    <w:link w:val="KommentarthemaZchn"/>
    <w:uiPriority w:val="99"/>
    <w:semiHidden/>
    <w:unhideWhenUsed/>
    <w:rsid w:val="00D37CF4"/>
    <w:rPr>
      <w:b/>
      <w:bCs/>
    </w:rPr>
  </w:style>
  <w:style w:type="character" w:customStyle="1" w:styleId="KommentarthemaZchn">
    <w:name w:val="Kommentarthema Zchn"/>
    <w:link w:val="Kommentarthema"/>
    <w:uiPriority w:val="99"/>
    <w:semiHidden/>
    <w:rsid w:val="00D37CF4"/>
    <w:rPr>
      <w:b/>
      <w:bCs/>
      <w:lang w:eastAsia="en-US"/>
    </w:rPr>
  </w:style>
  <w:style w:type="paragraph" w:customStyle="1" w:styleId="1RoadNews">
    <w:name w:val="_1RoadNews"/>
    <w:basedOn w:val="Standard"/>
    <w:qFormat/>
    <w:rsid w:val="002F5818"/>
    <w:pPr>
      <w:widowControl w:val="0"/>
      <w:suppressAutoHyphens/>
      <w:autoSpaceDE w:val="0"/>
      <w:autoSpaceDN w:val="0"/>
      <w:adjustRightInd w:val="0"/>
      <w:spacing w:line="290" w:lineRule="atLeast"/>
      <w:textAlignment w:val="center"/>
    </w:pPr>
    <w:rPr>
      <w:rFonts w:ascii="Arial" w:eastAsia="Times New Roman" w:hAnsi="Arial" w:cs="HelveticaNeue-LightItalic"/>
      <w:iCs/>
      <w:color w:val="000000"/>
      <w:spacing w:val="3"/>
      <w:sz w:val="22"/>
      <w:szCs w:val="18"/>
      <w:lang w:eastAsia="de-DE" w:bidi="de-DE"/>
    </w:rPr>
  </w:style>
  <w:style w:type="paragraph" w:customStyle="1" w:styleId="berschrift31">
    <w:name w:val="Überschrift 31"/>
    <w:basedOn w:val="Standard"/>
    <w:next w:val="Text"/>
    <w:uiPriority w:val="9"/>
    <w:qFormat/>
    <w:rsid w:val="00895697"/>
    <w:pPr>
      <w:keepNext/>
      <w:keepLines/>
      <w:suppressAutoHyphens/>
      <w:spacing w:before="120" w:after="120" w:line="240" w:lineRule="exact"/>
      <w:jc w:val="both"/>
      <w:outlineLvl w:val="2"/>
    </w:pPr>
    <w:rPr>
      <w:rFonts w:eastAsia="Times New Roman"/>
      <w:b/>
      <w:sz w:val="20"/>
      <w:szCs w:val="24"/>
    </w:rPr>
  </w:style>
  <w:style w:type="character" w:customStyle="1" w:styleId="TextkrperZchn">
    <w:name w:val="Textkörper Zchn"/>
    <w:link w:val="Textkrper"/>
    <w:qFormat/>
    <w:rsid w:val="009B2BA5"/>
    <w:rPr>
      <w:rFonts w:ascii="Arial" w:eastAsia="Arial Unicode MS" w:hAnsi="Arial" w:cs="Lucida Sans"/>
      <w:kern w:val="2"/>
      <w:sz w:val="22"/>
      <w:szCs w:val="24"/>
      <w:lang w:eastAsia="zh-CN" w:bidi="hi-IN"/>
    </w:rPr>
  </w:style>
  <w:style w:type="paragraph" w:styleId="Textkrper">
    <w:name w:val="Body Text"/>
    <w:basedOn w:val="Standard"/>
    <w:link w:val="TextkrperZchn"/>
    <w:rsid w:val="009B2BA5"/>
    <w:pPr>
      <w:suppressAutoHyphens/>
      <w:spacing w:after="140" w:line="276" w:lineRule="auto"/>
    </w:pPr>
    <w:rPr>
      <w:rFonts w:ascii="Arial" w:eastAsia="Arial Unicode MS" w:hAnsi="Arial" w:cs="Lucida Sans"/>
      <w:kern w:val="2"/>
      <w:sz w:val="22"/>
      <w:szCs w:val="24"/>
      <w:lang w:eastAsia="zh-CN" w:bidi="hi-IN"/>
    </w:rPr>
  </w:style>
  <w:style w:type="character" w:customStyle="1" w:styleId="TextkrperZchn1">
    <w:name w:val="Textkörper Zchn1"/>
    <w:uiPriority w:val="99"/>
    <w:semiHidden/>
    <w:rsid w:val="009B2BA5"/>
    <w:rPr>
      <w:sz w:val="16"/>
      <w:szCs w:val="16"/>
      <w:lang w:eastAsia="en-US"/>
    </w:rPr>
  </w:style>
  <w:style w:type="paragraph" w:styleId="berarbeitung">
    <w:name w:val="Revision"/>
    <w:hidden/>
    <w:uiPriority w:val="71"/>
    <w:semiHidden/>
    <w:rsid w:val="009E0361"/>
    <w:rPr>
      <w:sz w:val="16"/>
      <w:szCs w:val="16"/>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55393810">
      <w:bodyDiv w:val="1"/>
      <w:marLeft w:val="0"/>
      <w:marRight w:val="0"/>
      <w:marTop w:val="0"/>
      <w:marBottom w:val="0"/>
      <w:divBdr>
        <w:top w:val="none" w:sz="0" w:space="0" w:color="auto"/>
        <w:left w:val="none" w:sz="0" w:space="0" w:color="auto"/>
        <w:bottom w:val="none" w:sz="0" w:space="0" w:color="auto"/>
        <w:right w:val="none" w:sz="0" w:space="0" w:color="auto"/>
      </w:divBdr>
    </w:div>
    <w:div w:id="830289638">
      <w:bodyDiv w:val="1"/>
      <w:marLeft w:val="0"/>
      <w:marRight w:val="0"/>
      <w:marTop w:val="0"/>
      <w:marBottom w:val="0"/>
      <w:divBdr>
        <w:top w:val="none" w:sz="0" w:space="0" w:color="auto"/>
        <w:left w:val="none" w:sz="0" w:space="0" w:color="auto"/>
        <w:bottom w:val="none" w:sz="0" w:space="0" w:color="auto"/>
        <w:right w:val="none" w:sz="0" w:space="0" w:color="auto"/>
      </w:divBdr>
    </w:div>
    <w:div w:id="1128820421">
      <w:bodyDiv w:val="1"/>
      <w:marLeft w:val="0"/>
      <w:marRight w:val="0"/>
      <w:marTop w:val="0"/>
      <w:marBottom w:val="0"/>
      <w:divBdr>
        <w:top w:val="none" w:sz="0" w:space="0" w:color="auto"/>
        <w:left w:val="none" w:sz="0" w:space="0" w:color="auto"/>
        <w:bottom w:val="none" w:sz="0" w:space="0" w:color="auto"/>
        <w:right w:val="none" w:sz="0" w:space="0" w:color="auto"/>
      </w:divBdr>
    </w:div>
    <w:div w:id="1932004068">
      <w:bodyDiv w:val="1"/>
      <w:marLeft w:val="0"/>
      <w:marRight w:val="0"/>
      <w:marTop w:val="0"/>
      <w:marBottom w:val="0"/>
      <w:divBdr>
        <w:top w:val="none" w:sz="0" w:space="0" w:color="auto"/>
        <w:left w:val="none" w:sz="0" w:space="0" w:color="auto"/>
        <w:bottom w:val="none" w:sz="0" w:space="0" w:color="auto"/>
        <w:right w:val="none" w:sz="0" w:space="0" w:color="auto"/>
      </w:divBdr>
    </w:div>
  </w:divs>
  <w:allowPNG/>
  <w:pixelsPerInch w:val="72"/>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1.xml"/><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footer" Target="footer2.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eader" Target="header2.xml"/></Relationships>
</file>

<file path=word/_rels/header1.xml.rels><?xml version="1.0" encoding="UTF-8" standalone="yes"?>
<Relationships xmlns="http://schemas.openxmlformats.org/package/2006/relationships"><Relationship Id="rId1" Type="http://schemas.openxmlformats.org/officeDocument/2006/relationships/image" Target="media/image5.emf"/></Relationships>
</file>

<file path=word/_rels/settings.xml.rels><?xml version="1.0" encoding="UTF-8" standalone="yes"?>
<Relationships xmlns="http://schemas.openxmlformats.org/package/2006/relationships"><Relationship Id="rId1" Type="http://schemas.openxmlformats.org/officeDocument/2006/relationships/attachedTemplate" Target="file:///R:\MT_CC\01%20-%20Presse%20und%20&#214;ffentlichkeitsarbeit\01%20-%20Presseartikel\99_Vorlagen\PR_WIRTGEN%20GROUP_Vorlage.dotx" TargetMode="Externa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F26384C-076B-481A-B4E9-8A54EEA0364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PR_WIRTGEN GROUP_Vorlage</Template>
  <TotalTime>0</TotalTime>
  <Pages>5</Pages>
  <Words>1129</Words>
  <Characters>7118</Characters>
  <Application>Microsoft Office Word</Application>
  <DocSecurity>0</DocSecurity>
  <Lines>59</Lines>
  <Paragraphs>16</Paragraphs>
  <ScaleCrop>false</ScaleCrop>
  <HeadingPairs>
    <vt:vector size="2" baseType="variant">
      <vt:variant>
        <vt:lpstr>Titel</vt:lpstr>
      </vt:variant>
      <vt:variant>
        <vt:i4>1</vt:i4>
      </vt:variant>
    </vt:vector>
  </HeadingPairs>
  <TitlesOfParts>
    <vt:vector size="1" baseType="lpstr">
      <vt:lpstr/>
    </vt:vector>
  </TitlesOfParts>
  <Company>wir-lieben-office.de</Company>
  <LinksUpToDate>false</LinksUpToDate>
  <CharactersWithSpaces>8231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Linnemann Mario</dc:creator>
  <cp:keywords/>
  <cp:lastModifiedBy>Lang,Christian</cp:lastModifiedBy>
  <cp:revision>9</cp:revision>
  <cp:lastPrinted>2021-01-03T14:34:00Z</cp:lastPrinted>
  <dcterms:created xsi:type="dcterms:W3CDTF">2021-05-12T07:06:00Z</dcterms:created>
  <dcterms:modified xsi:type="dcterms:W3CDTF">2021-05-25T10:37:00Z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